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附件二</w:t>
      </w:r>
    </w:p>
    <w:p>
      <w:pPr>
        <w:pStyle w:val="2"/>
        <w:jc w:val="center"/>
        <w:outlineLvl w:val="9"/>
        <w:rPr>
          <w:rFonts w:hint="eastAsia" w:ascii="仿宋_GB2312" w:hAnsi="宋体" w:eastAsia="仿宋_GB2312" w:cs="Times New Roman"/>
          <w:color w:val="auto"/>
          <w:sz w:val="30"/>
          <w:szCs w:val="30"/>
          <w:lang w:val="en-US" w:eastAsia="zh-CN"/>
        </w:rPr>
      </w:pPr>
      <w:bookmarkStart w:id="1" w:name="_GoBack"/>
      <w:r>
        <w:rPr>
          <w:rFonts w:hint="eastAsia" w:ascii="华文中宋" w:hAnsi="华文中宋" w:eastAsia="华文中宋" w:cs="华文中宋"/>
          <w:color w:val="auto"/>
          <w:sz w:val="36"/>
          <w:szCs w:val="36"/>
        </w:rPr>
        <w:t>《</w:t>
      </w:r>
      <w:r>
        <w:rPr>
          <w:rFonts w:hint="eastAsia" w:ascii="华文中宋" w:hAnsi="华文中宋" w:eastAsia="华文中宋" w:cs="华文中宋"/>
          <w:color w:val="auto"/>
          <w:sz w:val="36"/>
          <w:szCs w:val="36"/>
          <w:lang w:eastAsia="zh-CN"/>
        </w:rPr>
        <w:t>物业管理行业发展指数报告</w:t>
      </w:r>
      <w:r>
        <w:rPr>
          <w:rFonts w:hint="eastAsia" w:ascii="华文中宋" w:hAnsi="华文中宋" w:eastAsia="华文中宋" w:cs="华文中宋"/>
          <w:color w:val="auto"/>
          <w:sz w:val="36"/>
          <w:szCs w:val="36"/>
        </w:rPr>
        <w:t>》</w:t>
      </w:r>
      <w:r>
        <w:rPr>
          <w:rFonts w:hint="eastAsia" w:ascii="华文中宋" w:hAnsi="华文中宋" w:eastAsia="华文中宋" w:cs="华文中宋"/>
          <w:color w:val="auto"/>
          <w:sz w:val="36"/>
          <w:szCs w:val="36"/>
          <w:lang w:val="en-US" w:eastAsia="zh-CN"/>
        </w:rPr>
        <w:t>编撰</w:t>
      </w:r>
      <w:r>
        <w:rPr>
          <w:rFonts w:hint="eastAsia" w:ascii="华文中宋" w:hAnsi="华文中宋" w:eastAsia="华文中宋" w:cs="华文中宋"/>
          <w:color w:val="auto"/>
          <w:sz w:val="36"/>
          <w:szCs w:val="36"/>
        </w:rPr>
        <w:t>实施方案</w:t>
      </w:r>
      <w:bookmarkEnd w:id="1"/>
    </w:p>
    <w:p>
      <w:pPr>
        <w:widowControl/>
        <w:spacing w:line="240" w:lineRule="auto"/>
        <w:ind w:firstLine="0" w:firstLineChars="0"/>
        <w:jc w:val="left"/>
        <w:outlineLvl w:val="9"/>
        <w:rPr>
          <w:rFonts w:hint="eastAsia" w:ascii="仿宋_GB2312" w:hAnsi="宋体" w:eastAsia="仿宋_GB2312" w:cs="Times New Roman"/>
          <w:color w:val="auto"/>
          <w:sz w:val="30"/>
          <w:szCs w:val="30"/>
          <w:lang w:val="en-US" w:eastAsia="zh-CN"/>
        </w:rPr>
      </w:pPr>
    </w:p>
    <w:p>
      <w:pPr>
        <w:widowControl/>
        <w:spacing w:line="240" w:lineRule="auto"/>
        <w:ind w:firstLine="600" w:firstLineChars="200"/>
        <w:jc w:val="both"/>
        <w:outlineLvl w:val="9"/>
        <w:rPr>
          <w:rFonts w:hint="eastAsia" w:ascii="仿宋_GB2312" w:hAnsi="宋体" w:eastAsia="仿宋_GB2312" w:cs="Times New Roman"/>
          <w:color w:val="auto"/>
          <w:sz w:val="30"/>
          <w:szCs w:val="30"/>
          <w:lang w:val="en-US" w:eastAsia="zh-CN"/>
        </w:rPr>
      </w:pPr>
      <w:r>
        <w:rPr>
          <w:rFonts w:hint="eastAsia" w:ascii="仿宋" w:hAnsi="仿宋" w:eastAsia="仿宋" w:cs="仿宋"/>
          <w:color w:val="auto"/>
          <w:sz w:val="30"/>
          <w:szCs w:val="30"/>
          <w:lang w:val="en-US" w:eastAsia="zh-CN"/>
        </w:rPr>
        <w:t>根据《关于开展</w:t>
      </w:r>
      <w:r>
        <w:rPr>
          <w:rFonts w:hint="eastAsia" w:ascii="仿宋" w:hAnsi="仿宋" w:eastAsia="仿宋" w:cs="仿宋"/>
          <w:b w:val="0"/>
          <w:bCs w:val="0"/>
          <w:color w:val="auto"/>
          <w:kern w:val="2"/>
          <w:sz w:val="30"/>
          <w:szCs w:val="30"/>
          <w:lang w:eastAsia="zh-CN"/>
        </w:rPr>
        <w:t>“</w:t>
      </w:r>
      <w:r>
        <w:rPr>
          <w:rFonts w:hint="eastAsia" w:ascii="仿宋" w:hAnsi="仿宋" w:eastAsia="仿宋" w:cs="仿宋"/>
          <w:b w:val="0"/>
          <w:bCs w:val="0"/>
          <w:i w:val="0"/>
          <w:iCs w:val="0"/>
          <w:caps w:val="0"/>
          <w:color w:val="auto"/>
          <w:spacing w:val="0"/>
          <w:kern w:val="2"/>
          <w:sz w:val="30"/>
          <w:szCs w:val="30"/>
          <w:shd w:val="clear" w:color="auto" w:fill="auto"/>
        </w:rPr>
        <w:t>回望奋斗路</w:t>
      </w:r>
      <w:r>
        <w:rPr>
          <w:rFonts w:hint="eastAsia" w:ascii="仿宋" w:hAnsi="仿宋" w:eastAsia="仿宋" w:cs="仿宋"/>
          <w:b w:val="0"/>
          <w:bCs w:val="0"/>
          <w:i w:val="0"/>
          <w:iCs w:val="0"/>
          <w:caps w:val="0"/>
          <w:color w:val="auto"/>
          <w:spacing w:val="0"/>
          <w:kern w:val="2"/>
          <w:sz w:val="30"/>
          <w:szCs w:val="30"/>
          <w:shd w:val="clear" w:color="auto" w:fill="auto"/>
          <w:lang w:eastAsia="zh-CN"/>
        </w:rPr>
        <w:t xml:space="preserve"> 启航</w:t>
      </w:r>
      <w:r>
        <w:rPr>
          <w:rFonts w:hint="eastAsia" w:ascii="仿宋" w:hAnsi="仿宋" w:eastAsia="仿宋" w:cs="仿宋"/>
          <w:b w:val="0"/>
          <w:bCs w:val="0"/>
          <w:i w:val="0"/>
          <w:iCs w:val="0"/>
          <w:caps w:val="0"/>
          <w:color w:val="auto"/>
          <w:spacing w:val="0"/>
          <w:kern w:val="2"/>
          <w:sz w:val="30"/>
          <w:szCs w:val="30"/>
          <w:shd w:val="clear" w:color="auto" w:fill="auto"/>
        </w:rPr>
        <w:t>新征程</w:t>
      </w:r>
      <w:r>
        <w:rPr>
          <w:rFonts w:hint="eastAsia" w:ascii="仿宋" w:hAnsi="仿宋" w:eastAsia="仿宋" w:cs="仿宋"/>
          <w:b w:val="0"/>
          <w:bCs w:val="0"/>
          <w:color w:val="auto"/>
          <w:kern w:val="2"/>
          <w:sz w:val="30"/>
          <w:szCs w:val="30"/>
          <w:lang w:eastAsia="zh-CN"/>
        </w:rPr>
        <w:t>”</w:t>
      </w:r>
      <w:r>
        <w:rPr>
          <w:rFonts w:hint="eastAsia" w:ascii="仿宋" w:hAnsi="仿宋" w:eastAsia="仿宋" w:cs="仿宋"/>
          <w:color w:val="auto"/>
          <w:sz w:val="30"/>
          <w:szCs w:val="30"/>
          <w:lang w:val="en-US" w:eastAsia="zh-CN"/>
        </w:rPr>
        <w:t>物业管理改革发展40周年庆祝活动的通知》，现制定《物业管理行业发展指数报告》编撰实施方案，有关事项如下：</w:t>
      </w:r>
    </w:p>
    <w:p>
      <w:pPr>
        <w:spacing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rPr>
        <w:t>一、组织实施</w:t>
      </w:r>
    </w:p>
    <w:p>
      <w:pPr>
        <w:spacing w:line="24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《物业管理行业发展指数报告》编撰</w:t>
      </w:r>
      <w:r>
        <w:rPr>
          <w:rFonts w:hint="eastAsia" w:ascii="仿宋" w:hAnsi="仿宋" w:eastAsia="仿宋" w:cs="仿宋"/>
          <w:color w:val="auto"/>
          <w:sz w:val="30"/>
          <w:szCs w:val="30"/>
        </w:rPr>
        <w:t>工作由中国物协</w:t>
      </w:r>
      <w:r>
        <w:rPr>
          <w:rFonts w:hint="eastAsia" w:ascii="仿宋" w:hAnsi="仿宋" w:eastAsia="仿宋" w:cs="仿宋"/>
          <w:color w:val="auto"/>
          <w:sz w:val="30"/>
          <w:szCs w:val="30"/>
          <w:lang w:val="en-US" w:eastAsia="zh-CN"/>
        </w:rPr>
        <w:t>负责</w:t>
      </w:r>
      <w:r>
        <w:rPr>
          <w:rFonts w:hint="eastAsia" w:ascii="仿宋" w:hAnsi="仿宋" w:eastAsia="仿宋" w:cs="仿宋"/>
          <w:color w:val="auto"/>
          <w:sz w:val="30"/>
          <w:szCs w:val="30"/>
        </w:rPr>
        <w:t>组织实施；各地方物业管理协会根据实施方案，负责组织地方工作的开展；北京中物研协信息科技有限公司（以下简称“中物研协”）</w:t>
      </w:r>
      <w:r>
        <w:rPr>
          <w:rFonts w:hint="eastAsia" w:ascii="仿宋" w:hAnsi="仿宋" w:eastAsia="仿宋" w:cs="仿宋"/>
          <w:color w:val="auto"/>
          <w:sz w:val="30"/>
          <w:szCs w:val="30"/>
          <w:lang w:val="en-US" w:eastAsia="zh-CN"/>
        </w:rPr>
        <w:t>负责</w:t>
      </w:r>
      <w:r>
        <w:rPr>
          <w:rFonts w:hint="eastAsia" w:ascii="仿宋" w:hAnsi="仿宋" w:eastAsia="仿宋" w:cs="仿宋"/>
          <w:color w:val="auto"/>
          <w:sz w:val="30"/>
          <w:szCs w:val="30"/>
        </w:rPr>
        <w:t>落实</w:t>
      </w:r>
      <w:r>
        <w:rPr>
          <w:rFonts w:hint="eastAsia" w:ascii="仿宋" w:hAnsi="仿宋" w:eastAsia="仿宋" w:cs="仿宋"/>
          <w:color w:val="auto"/>
          <w:sz w:val="30"/>
          <w:szCs w:val="30"/>
          <w:lang w:val="en-US" w:eastAsia="zh-CN"/>
        </w:rPr>
        <w:t>发展指数报告撰写的具体工作</w:t>
      </w:r>
      <w:r>
        <w:rPr>
          <w:rFonts w:hint="eastAsia" w:ascii="仿宋" w:hAnsi="仿宋" w:eastAsia="仿宋" w:cs="仿宋"/>
          <w:color w:val="auto"/>
          <w:sz w:val="30"/>
          <w:szCs w:val="30"/>
        </w:rPr>
        <w:t>。</w:t>
      </w:r>
    </w:p>
    <w:p>
      <w:pPr>
        <w:spacing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、发展指数</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物业管理行业发展指数是从动态上衡量行业经营状况、管理规模、从业人员等发展情况，反映行业发展总体水平的综合指数。在宏观层面为行业发展战略导向、政策制定等提供相应参考。</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rPr>
        <w:t>物业服务企业发展指数以</w:t>
      </w:r>
      <w:r>
        <w:rPr>
          <w:rFonts w:hint="eastAsia" w:ascii="仿宋" w:hAnsi="仿宋" w:eastAsia="仿宋" w:cs="仿宋"/>
          <w:color w:val="auto"/>
          <w:sz w:val="30"/>
          <w:szCs w:val="30"/>
          <w:lang w:val="en-US" w:eastAsia="zh-CN"/>
        </w:rPr>
        <w:t>会员单位</w:t>
      </w:r>
      <w:r>
        <w:rPr>
          <w:rFonts w:hint="eastAsia" w:ascii="仿宋" w:hAnsi="仿宋" w:eastAsia="仿宋" w:cs="仿宋"/>
          <w:color w:val="auto"/>
          <w:sz w:val="30"/>
          <w:szCs w:val="30"/>
        </w:rPr>
        <w:t>填报数据为基础，选取500家</w:t>
      </w:r>
      <w:r>
        <w:rPr>
          <w:rFonts w:hint="eastAsia" w:ascii="仿宋" w:hAnsi="仿宋" w:eastAsia="仿宋" w:cs="仿宋"/>
          <w:color w:val="auto"/>
          <w:sz w:val="30"/>
          <w:szCs w:val="30"/>
          <w:lang w:val="en-US" w:eastAsia="zh-CN"/>
        </w:rPr>
        <w:t>物业服务</w:t>
      </w:r>
      <w:r>
        <w:rPr>
          <w:rFonts w:hint="eastAsia" w:ascii="仿宋" w:hAnsi="仿宋" w:eastAsia="仿宋" w:cs="仿宋"/>
          <w:color w:val="auto"/>
          <w:sz w:val="30"/>
          <w:szCs w:val="30"/>
        </w:rPr>
        <w:t>企业</w:t>
      </w:r>
      <w:r>
        <w:rPr>
          <w:rFonts w:hint="eastAsia" w:ascii="仿宋" w:hAnsi="仿宋" w:eastAsia="仿宋" w:cs="仿宋"/>
          <w:color w:val="auto"/>
          <w:sz w:val="30"/>
          <w:szCs w:val="30"/>
          <w:lang w:val="en-US" w:eastAsia="zh-CN"/>
        </w:rPr>
        <w:t>纳入“</w:t>
      </w:r>
      <w:r>
        <w:rPr>
          <w:rFonts w:hint="eastAsia" w:ascii="仿宋" w:hAnsi="仿宋" w:eastAsia="仿宋" w:cs="仿宋"/>
          <w:color w:val="auto"/>
          <w:sz w:val="30"/>
          <w:szCs w:val="30"/>
        </w:rPr>
        <w:t>PMD</w:t>
      </w:r>
      <w:r>
        <w:rPr>
          <w:rFonts w:hint="eastAsia" w:ascii="仿宋" w:hAnsi="仿宋" w:eastAsia="仿宋" w:cs="仿宋"/>
          <w:color w:val="auto"/>
          <w:sz w:val="30"/>
          <w:szCs w:val="30"/>
          <w:lang w:val="en-US" w:eastAsia="zh-CN"/>
        </w:rPr>
        <w:t xml:space="preserve">I </w:t>
      </w:r>
      <w:r>
        <w:rPr>
          <w:rFonts w:hint="eastAsia" w:ascii="仿宋" w:hAnsi="仿宋" w:eastAsia="仿宋" w:cs="仿宋"/>
          <w:color w:val="auto"/>
          <w:sz w:val="30"/>
          <w:szCs w:val="30"/>
        </w:rPr>
        <w:t>500</w:t>
      </w:r>
      <w:r>
        <w:rPr>
          <w:rFonts w:hint="eastAsia" w:ascii="仿宋" w:hAnsi="仿宋" w:eastAsia="仿宋" w:cs="仿宋"/>
          <w:color w:val="auto"/>
          <w:sz w:val="30"/>
          <w:szCs w:val="30"/>
          <w:lang w:val="en-US" w:eastAsia="zh-CN"/>
        </w:rPr>
        <w:t>”综合指数</w:t>
      </w:r>
      <w:r>
        <w:rPr>
          <w:rFonts w:hint="eastAsia" w:ascii="仿宋" w:hAnsi="仿宋" w:eastAsia="仿宋" w:cs="仿宋"/>
          <w:color w:val="auto"/>
          <w:sz w:val="30"/>
          <w:szCs w:val="30"/>
        </w:rPr>
        <w:t>，衡量企业经营状况、管理规模、服务质量等发展情况</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同时针对住宅、办公写字楼、产业园区、商业物业、学校、医院、公众场馆物业等物业细分业态领域，以及经营收入、管理面积、净利润、多种经营服务收入等细分指标进行专项</w:t>
      </w:r>
      <w:r>
        <w:rPr>
          <w:rFonts w:hint="eastAsia" w:ascii="仿宋" w:hAnsi="仿宋" w:eastAsia="仿宋" w:cs="仿宋"/>
          <w:color w:val="auto"/>
          <w:sz w:val="30"/>
          <w:szCs w:val="30"/>
          <w:lang w:eastAsia="zh-CN"/>
        </w:rPr>
        <w:t>研究</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在微观层面为企业发展的目标制定、经营方式等提供决策依据。</w:t>
      </w:r>
    </w:p>
    <w:p>
      <w:pPr>
        <w:spacing w:before="0" w:beforeAutospacing="0" w:after="0" w:afterAutospacing="0"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、数据上报流程</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（一）各单位登陆中国物协网站（www.ecpmi.org.cn），浏览《</w:t>
      </w:r>
      <w:r>
        <w:rPr>
          <w:rFonts w:hint="eastAsia" w:ascii="仿宋" w:hAnsi="仿宋" w:eastAsia="仿宋" w:cs="仿宋"/>
          <w:color w:val="auto"/>
          <w:sz w:val="30"/>
          <w:szCs w:val="30"/>
          <w:lang w:val="en-US" w:eastAsia="zh-CN"/>
        </w:rPr>
        <w:t>&lt;</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lang w:val="en-US" w:eastAsia="zh-CN"/>
        </w:rPr>
        <w:t>&gt;编撰实施方案</w:t>
      </w:r>
      <w:r>
        <w:rPr>
          <w:rFonts w:hint="eastAsia" w:ascii="仿宋" w:hAnsi="仿宋" w:eastAsia="仿宋" w:cs="仿宋"/>
          <w:color w:val="auto"/>
          <w:sz w:val="30"/>
          <w:szCs w:val="30"/>
        </w:rPr>
        <w:t>》，认真按照文件要求准备上报材料。</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（二）各上报单位请</w:t>
      </w:r>
      <w:r>
        <w:rPr>
          <w:rFonts w:hint="eastAsia" w:ascii="仿宋" w:hAnsi="仿宋" w:eastAsia="仿宋" w:cs="仿宋"/>
          <w:color w:val="auto"/>
          <w:sz w:val="30"/>
          <w:szCs w:val="30"/>
          <w:lang w:val="en-US" w:eastAsia="zh-CN"/>
        </w:rPr>
        <w:t>在</w:t>
      </w:r>
      <w:r>
        <w:rPr>
          <w:rFonts w:hint="eastAsia" w:ascii="仿宋" w:hAnsi="仿宋" w:eastAsia="仿宋" w:cs="仿宋"/>
          <w:color w:val="auto"/>
          <w:sz w:val="30"/>
          <w:szCs w:val="30"/>
        </w:rPr>
        <w:t>指定时间安排登陆“服务平台”，点击“</w:t>
      </w:r>
      <w:r>
        <w:rPr>
          <w:rFonts w:hint="eastAsia" w:ascii="仿宋" w:hAnsi="仿宋" w:eastAsia="仿宋" w:cs="仿宋"/>
          <w:color w:val="auto"/>
          <w:sz w:val="30"/>
          <w:szCs w:val="30"/>
          <w:lang w:eastAsia="zh-CN"/>
        </w:rPr>
        <w:t>研究</w:t>
      </w:r>
      <w:r>
        <w:rPr>
          <w:rFonts w:hint="eastAsia" w:ascii="仿宋" w:hAnsi="仿宋" w:eastAsia="仿宋" w:cs="仿宋"/>
          <w:color w:val="auto"/>
          <w:sz w:val="30"/>
          <w:szCs w:val="30"/>
        </w:rPr>
        <w:t>”进行网上填报。</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（三）填报系统数据采集表中灰色表格为自动生成内容，企业不用填写，《物业管理项目清单》可按下载模板填写后导入。所有表格可分页保存，全部内容填写完成，确认无误后</w:t>
      </w:r>
      <w:r>
        <w:rPr>
          <w:rFonts w:hint="eastAsia" w:ascii="仿宋" w:hAnsi="仿宋" w:eastAsia="仿宋" w:cs="仿宋"/>
          <w:color w:val="auto"/>
          <w:sz w:val="30"/>
          <w:szCs w:val="30"/>
          <w:lang w:val="en-US" w:eastAsia="zh-CN"/>
        </w:rPr>
        <w:t>提交</w:t>
      </w:r>
      <w:r>
        <w:rPr>
          <w:rFonts w:hint="eastAsia" w:ascii="仿宋" w:hAnsi="仿宋" w:eastAsia="仿宋" w:cs="仿宋"/>
          <w:color w:val="auto"/>
          <w:sz w:val="30"/>
          <w:szCs w:val="30"/>
        </w:rPr>
        <w:t>数据，数据上报后企业不可修改。</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（四）待网上信息初审通过后，打印《</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》数据采集表和《物业管理项目清单》。</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（五）各地方协会对企业审计报告等原件进行初审。</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（六）经地方协会初审通过后，各上报单位请于资料上报截止日前，将上报材料报送中国物协（地址：北京市海淀区三里河路15号中建大厦B座9003）。</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（七）</w:t>
      </w:r>
      <w:r>
        <w:rPr>
          <w:rFonts w:hint="eastAsia" w:ascii="仿宋" w:hAnsi="仿宋" w:eastAsia="仿宋" w:cs="仿宋"/>
          <w:color w:val="auto"/>
          <w:sz w:val="30"/>
          <w:szCs w:val="30"/>
          <w:lang w:val="en-US" w:eastAsia="zh-CN"/>
        </w:rPr>
        <w:t>经</w:t>
      </w:r>
      <w:r>
        <w:rPr>
          <w:rFonts w:hint="eastAsia" w:ascii="仿宋" w:hAnsi="仿宋" w:eastAsia="仿宋" w:cs="仿宋"/>
          <w:color w:val="auto"/>
          <w:sz w:val="30"/>
          <w:szCs w:val="30"/>
        </w:rPr>
        <w:t>收集、整理企业上报材料，复核申报数据</w:t>
      </w:r>
      <w:r>
        <w:rPr>
          <w:rFonts w:hint="eastAsia" w:ascii="仿宋" w:hAnsi="仿宋" w:eastAsia="仿宋" w:cs="仿宋"/>
          <w:color w:val="auto"/>
          <w:sz w:val="30"/>
          <w:szCs w:val="30"/>
          <w:lang w:val="en-US" w:eastAsia="zh-CN"/>
        </w:rPr>
        <w:t>后</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中国物协组织撰写</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pPr>
        <w:spacing w:before="0" w:beforeAutospacing="0" w:after="0" w:afterAutospacing="0" w:line="240" w:lineRule="auto"/>
        <w:ind w:firstLine="602" w:firstLineChars="200"/>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四</w:t>
      </w:r>
      <w:r>
        <w:rPr>
          <w:rFonts w:hint="eastAsia" w:ascii="仿宋" w:hAnsi="仿宋" w:eastAsia="仿宋" w:cs="仿宋"/>
          <w:b/>
          <w:bCs/>
          <w:color w:val="auto"/>
          <w:sz w:val="30"/>
          <w:szCs w:val="30"/>
        </w:rPr>
        <w:t>、上报条件</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（一）基础条件</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营业收入大于6000万元或管理面积大于300万平方米的物业服务企业。</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2.中国物协会员单位。</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（二）限制条件</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1.20</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年中有违反国家法律法规、《物业管理条例》以及相关的物业管理法律法规并经查实的。</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2.20</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年中受到行业主管部门或协会通报批评、公开谴责的。</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3.20</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年中有严重损害业主权益的投诉案件，并经查实的。</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4.有其他不良记录。</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、上报材料</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》企业申报材料报送单</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份（加盖地方物业管理协会公章），由地方物业管理协会对企业申报材料初审通过后出具。</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》数据采集表一份（附表1.1，封面加盖单位公章）。</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（三）《物业管理项目清单》（附表1.2），提交打印件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份（单位名称处加盖单位公章）。</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（四）</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企业审计报告书，提交复印件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份（加盖单位公章）。</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五</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续表7企业简介，在申报系统中上传word电子版。</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六</w:t>
      </w:r>
      <w:r>
        <w:rPr>
          <w:rFonts w:hint="eastAsia" w:ascii="仿宋" w:hAnsi="仿宋" w:eastAsia="仿宋" w:cs="仿宋"/>
          <w:color w:val="auto"/>
          <w:sz w:val="30"/>
          <w:szCs w:val="30"/>
        </w:rPr>
        <w:t>）带有企业中文名称的logo和</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张企业宣传照片（JPG格式不小于500kb，照片名称请注明展示内容），</w:t>
      </w:r>
      <w:r>
        <w:rPr>
          <w:rFonts w:hint="eastAsia" w:ascii="仿宋" w:hAnsi="仿宋" w:eastAsia="仿宋" w:cs="仿宋"/>
          <w:color w:val="auto"/>
          <w:sz w:val="30"/>
          <w:szCs w:val="30"/>
          <w:lang w:val="en-US" w:eastAsia="zh-CN"/>
        </w:rPr>
        <w:t>在</w:t>
      </w:r>
      <w:r>
        <w:rPr>
          <w:rFonts w:hint="eastAsia" w:ascii="仿宋" w:hAnsi="仿宋" w:eastAsia="仿宋" w:cs="仿宋"/>
          <w:color w:val="auto"/>
          <w:sz w:val="30"/>
          <w:szCs w:val="30"/>
        </w:rPr>
        <w:t>申报系统中上传压缩包。</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六</w:t>
      </w:r>
      <w:r>
        <w:rPr>
          <w:rFonts w:hint="eastAsia" w:ascii="仿宋" w:hAnsi="仿宋" w:eastAsia="仿宋" w:cs="仿宋"/>
          <w:b/>
          <w:bCs/>
          <w:color w:val="auto"/>
          <w:sz w:val="30"/>
          <w:szCs w:val="30"/>
        </w:rPr>
        <w:t>、注意事项</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一）总部型企业，所属分公司、非法人营业机构等非独立法人机构可直接计入上报企业。下属或由上级单位整合合并的所属独立法人和具有独立资质的企业合并上报，须提供上级单位整合合并的决定文件，同时提供财务合并报表、所属企业负责人任命等证明文件的，可按总部企业上报。</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二）合资合作性质的公司或项目，合资合作对方是物业服务企业的，按投资占股比例计算。对方不是物业服务企业的，面积可纳入计算，经济指标按投资占股比例计算。需要另外提供营业执照、公司章程、验资报告和</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审计报告（复印件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份）等相关证明材料。</w:t>
      </w:r>
    </w:p>
    <w:p>
      <w:pPr>
        <w:pStyle w:val="4"/>
        <w:widowControl w:val="0"/>
        <w:spacing w:before="0" w:beforeAutospacing="0" w:after="0" w:afterAutospacing="0" w:line="240" w:lineRule="auto"/>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rPr>
        <w:t>（三）申报企业提交的《</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》数据采集表和《物业管理项目清单》，需要与服务平台申报提交的数据一致。</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w:t>
      </w:r>
      <w:r>
        <w:rPr>
          <w:rFonts w:hint="eastAsia" w:ascii="仿宋" w:hAnsi="仿宋" w:eastAsia="仿宋" w:cs="仿宋"/>
          <w:color w:val="auto"/>
          <w:sz w:val="30"/>
          <w:szCs w:val="30"/>
          <w:lang w:eastAsia="zh-CN"/>
        </w:rPr>
        <w:t>2020年度</w:t>
      </w:r>
      <w:r>
        <w:rPr>
          <w:rFonts w:hint="eastAsia" w:ascii="仿宋" w:hAnsi="仿宋" w:eastAsia="仿宋" w:cs="仿宋"/>
          <w:color w:val="auto"/>
          <w:sz w:val="30"/>
          <w:szCs w:val="30"/>
        </w:rPr>
        <w:t>企业审计报告书应包括审计报告、资产负债表、现金流量表、利润表、会计报表附注、会计师事务所营业执照、注册会计师证等内容。审计报告书不完整的，相关的经营数据不予认可。</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、时间安排</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（一）网上填报：</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日</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（二）地方初审：</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月1日</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月3</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日</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（三）资料上报：</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日前</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（四）数据审核：</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日—</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（五）报告撰写：</w:t>
      </w:r>
      <w:r>
        <w:rPr>
          <w:rFonts w:hint="eastAsia" w:ascii="仿宋" w:hAnsi="仿宋" w:eastAsia="仿宋" w:cs="仿宋"/>
          <w:color w:val="auto"/>
          <w:sz w:val="30"/>
          <w:szCs w:val="30"/>
          <w:lang w:val="en-US" w:eastAsia="zh-CN"/>
        </w:rPr>
        <w:t>8-9</w:t>
      </w:r>
      <w:r>
        <w:rPr>
          <w:rFonts w:hint="eastAsia" w:ascii="仿宋" w:hAnsi="仿宋" w:eastAsia="仿宋" w:cs="仿宋"/>
          <w:color w:val="auto"/>
          <w:sz w:val="30"/>
          <w:szCs w:val="30"/>
        </w:rPr>
        <w:t>月</w:t>
      </w:r>
      <w:r>
        <w:rPr>
          <w:rFonts w:hint="eastAsia" w:ascii="仿宋" w:hAnsi="仿宋" w:eastAsia="仿宋" w:cs="仿宋"/>
          <w:color w:val="auto"/>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（六）报告发布：</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月</w:t>
      </w:r>
      <w:r>
        <w:rPr>
          <w:rFonts w:hint="eastAsia" w:ascii="仿宋" w:hAnsi="仿宋" w:eastAsia="仿宋" w:cs="仿宋"/>
          <w:color w:val="auto"/>
          <w:sz w:val="30"/>
          <w:szCs w:val="30"/>
          <w:lang w:eastAsia="zh-CN"/>
        </w:rPr>
        <w:t>。</w:t>
      </w:r>
    </w:p>
    <w:p>
      <w:pPr>
        <w:spacing w:before="0" w:beforeAutospacing="0" w:after="0" w:afterAutospacing="0" w:line="240" w:lineRule="auto"/>
        <w:ind w:firstLine="602"/>
        <w:outlineLvl w:val="2"/>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八</w:t>
      </w:r>
      <w:r>
        <w:rPr>
          <w:rFonts w:hint="eastAsia" w:ascii="仿宋" w:hAnsi="仿宋" w:eastAsia="仿宋" w:cs="仿宋"/>
          <w:b/>
          <w:bCs/>
          <w:color w:val="auto"/>
          <w:sz w:val="30"/>
          <w:szCs w:val="30"/>
        </w:rPr>
        <w:t>、联系方式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（一）业务咨询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1.中国物协秘书处</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联系人：吴一帆</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赵一飞</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电</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话：010-88083221</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地</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址：北京市海淀区三里河路15号中建大厦B座9003</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2.中物研协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联系人：王开迪</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于翠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电</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话：010-58951730、58952278</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（二）技术服务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联系人：</w:t>
      </w:r>
      <w:r>
        <w:rPr>
          <w:rFonts w:hint="eastAsia" w:ascii="仿宋" w:hAnsi="仿宋" w:eastAsia="仿宋" w:cs="仿宋"/>
          <w:color w:val="auto"/>
          <w:sz w:val="30"/>
          <w:szCs w:val="30"/>
          <w:lang w:val="en-US" w:eastAsia="zh-CN"/>
        </w:rPr>
        <w:t>李葆、沈孟铖、朱少利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电</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话：</w:t>
      </w:r>
      <w:r>
        <w:rPr>
          <w:rFonts w:hint="eastAsia" w:ascii="仿宋" w:hAnsi="仿宋" w:eastAsia="仿宋" w:cs="仿宋"/>
          <w:color w:val="auto"/>
          <w:sz w:val="30"/>
          <w:szCs w:val="30"/>
          <w:u w:val="none"/>
        </w:rPr>
        <w:t>18368112448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15384020368、</w:t>
      </w:r>
      <w:r>
        <w:rPr>
          <w:rFonts w:hint="eastAsia" w:ascii="仿宋" w:hAnsi="仿宋" w:eastAsia="仿宋" w:cs="仿宋"/>
          <w:color w:val="auto"/>
          <w:sz w:val="30"/>
          <w:szCs w:val="30"/>
          <w:lang w:eastAsia="zh-CN"/>
        </w:rPr>
        <w:t>15988863036</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0" w:firstLineChars="200"/>
        <w:jc w:val="both"/>
        <w:textAlignment w:val="auto"/>
        <w:rPr>
          <w:rFonts w:hint="eastAsia" w:ascii="仿宋_GB2312" w:hAnsi="仿宋_GB2312" w:eastAsia="仿宋_GB2312" w:cs="仿宋_GB2312"/>
          <w:color w:val="auto"/>
          <w:sz w:val="30"/>
          <w:szCs w:val="30"/>
          <w:lang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02" w:firstLineChars="200"/>
        <w:jc w:val="both"/>
        <w:textAlignment w:val="auto"/>
        <w:outlineLvl w:val="0"/>
        <w:rPr>
          <w:rFonts w:hint="eastAsia" w:ascii="仿宋" w:hAnsi="仿宋" w:eastAsia="仿宋" w:cs="仿宋"/>
          <w:color w:val="auto"/>
          <w:sz w:val="30"/>
          <w:szCs w:val="30"/>
        </w:rPr>
      </w:pPr>
      <w:r>
        <w:rPr>
          <w:rFonts w:hint="eastAsia" w:ascii="仿宋_GB2312" w:hAnsi="仿宋_GB2312" w:eastAsia="仿宋_GB2312" w:cs="仿宋_GB2312"/>
          <w:b/>
          <w:bCs/>
          <w:color w:val="auto"/>
          <w:sz w:val="30"/>
          <w:szCs w:val="30"/>
        </w:rPr>
        <w:t>附表：</w:t>
      </w:r>
      <w:r>
        <w:rPr>
          <w:rFonts w:hint="eastAsia" w:ascii="仿宋" w:hAnsi="仿宋" w:eastAsia="仿宋" w:cs="仿宋"/>
          <w:color w:val="auto"/>
          <w:sz w:val="30"/>
          <w:szCs w:val="30"/>
        </w:rPr>
        <w:t>1.1《</w:t>
      </w:r>
      <w:r>
        <w:rPr>
          <w:rFonts w:hint="eastAsia" w:ascii="仿宋" w:hAnsi="仿宋" w:eastAsia="仿宋" w:cs="仿宋"/>
          <w:color w:val="auto"/>
          <w:sz w:val="30"/>
          <w:szCs w:val="30"/>
          <w:lang w:eastAsia="zh-CN"/>
        </w:rPr>
        <w:t>物业管理行业发展指数报告</w:t>
      </w:r>
      <w:r>
        <w:rPr>
          <w:rFonts w:hint="eastAsia" w:ascii="仿宋" w:hAnsi="仿宋" w:eastAsia="仿宋" w:cs="仿宋"/>
          <w:color w:val="auto"/>
          <w:sz w:val="30"/>
          <w:szCs w:val="30"/>
        </w:rPr>
        <w:t>》数据采集表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500" w:firstLineChars="5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1.2</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物业管理项目清单（样表）</w:t>
      </w:r>
    </w:p>
    <w:p>
      <w:pPr>
        <w:spacing w:line="240" w:lineRule="auto"/>
        <w:outlineLvl w:val="0"/>
        <w:rPr>
          <w:rFonts w:ascii="仿宋_GB2312" w:hAnsi="华文中宋" w:eastAsia="仿宋_GB2312"/>
          <w:color w:val="auto"/>
          <w:sz w:val="30"/>
          <w:szCs w:val="30"/>
        </w:rPr>
      </w:pPr>
      <w:r>
        <w:rPr>
          <w:rFonts w:ascii="仿宋_GB2312" w:hAnsi="仿宋_GB2312" w:eastAsia="仿宋_GB2312" w:cs="仿宋_GB2312"/>
          <w:color w:val="auto"/>
          <w:sz w:val="30"/>
          <w:szCs w:val="30"/>
        </w:rPr>
        <w:br w:type="page"/>
      </w:r>
      <w:r>
        <w:rPr>
          <w:rFonts w:hint="eastAsia" w:ascii="仿宋_GB2312" w:hAnsi="华文中宋" w:eastAsia="仿宋_GB2312"/>
          <w:color w:val="auto"/>
          <w:sz w:val="30"/>
          <w:szCs w:val="30"/>
        </w:rPr>
        <w:t>附表1.1</w:t>
      </w:r>
    </w:p>
    <w:p>
      <w:pPr>
        <w:spacing w:line="240" w:lineRule="auto"/>
        <w:ind w:firstLine="721"/>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 xml:space="preserve"> </w:t>
      </w:r>
    </w:p>
    <w:p>
      <w:pPr>
        <w:spacing w:line="240" w:lineRule="auto"/>
        <w:ind w:firstLine="721"/>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 xml:space="preserve"> </w:t>
      </w:r>
    </w:p>
    <w:p>
      <w:pPr>
        <w:spacing w:line="240" w:lineRule="auto"/>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《物业</w:t>
      </w:r>
      <w:r>
        <w:rPr>
          <w:rFonts w:hint="eastAsia" w:ascii="华文中宋" w:hAnsi="华文中宋" w:eastAsia="华文中宋"/>
          <w:b/>
          <w:bCs/>
          <w:color w:val="auto"/>
          <w:sz w:val="36"/>
          <w:szCs w:val="36"/>
          <w:lang w:val="en-US" w:eastAsia="zh-CN"/>
        </w:rPr>
        <w:t>管理行业</w:t>
      </w:r>
      <w:r>
        <w:rPr>
          <w:rFonts w:hint="eastAsia" w:ascii="华文中宋" w:hAnsi="华文中宋" w:eastAsia="华文中宋"/>
          <w:b/>
          <w:bCs/>
          <w:color w:val="auto"/>
          <w:sz w:val="36"/>
          <w:szCs w:val="36"/>
        </w:rPr>
        <w:t>发展指数报告》</w:t>
      </w:r>
    </w:p>
    <w:p>
      <w:pPr>
        <w:spacing w:line="240" w:lineRule="auto"/>
        <w:jc w:val="center"/>
        <w:rPr>
          <w:rFonts w:ascii="华文中宋" w:hAnsi="华文中宋" w:eastAsia="华文中宋"/>
          <w:b/>
          <w:bCs/>
          <w:color w:val="auto"/>
          <w:sz w:val="36"/>
          <w:szCs w:val="36"/>
        </w:rPr>
      </w:pPr>
      <w:r>
        <w:rPr>
          <w:rFonts w:hint="eastAsia" w:ascii="华文中宋" w:hAnsi="华文中宋" w:eastAsia="华文中宋"/>
          <w:b/>
          <w:bCs/>
          <w:color w:val="auto"/>
          <w:sz w:val="36"/>
          <w:szCs w:val="36"/>
        </w:rPr>
        <w:t>数据采集表</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spacing w:line="240" w:lineRule="auto"/>
        <w:ind w:firstLine="1041"/>
        <w:jc w:val="center"/>
        <w:rPr>
          <w:rFonts w:ascii="华文中宋" w:hAnsi="华文中宋" w:eastAsia="华文中宋"/>
          <w:b/>
          <w:bCs/>
          <w:color w:val="auto"/>
          <w:sz w:val="52"/>
          <w:szCs w:val="52"/>
        </w:rPr>
      </w:pPr>
      <w:r>
        <w:rPr>
          <w:rFonts w:hint="eastAsia" w:ascii="华文中宋" w:hAnsi="华文中宋" w:eastAsia="华文中宋"/>
          <w:b/>
          <w:bCs/>
          <w:color w:val="auto"/>
          <w:sz w:val="52"/>
          <w:szCs w:val="52"/>
        </w:rPr>
        <w:t xml:space="preserve"> </w:t>
      </w:r>
    </w:p>
    <w:p>
      <w:pPr>
        <w:ind w:firstLine="1440" w:firstLineChars="478"/>
        <w:rPr>
          <w:rFonts w:hint="eastAsia"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所   在  省  市</w:t>
      </w:r>
      <w:r>
        <w:rPr>
          <w:rFonts w:hint="eastAsia" w:ascii="仿宋" w:hAnsi="仿宋" w:eastAsia="仿宋" w:cs="仿宋"/>
          <w:b/>
          <w:bCs/>
          <w:color w:val="auto"/>
          <w:sz w:val="30"/>
          <w:szCs w:val="30"/>
          <w:u w:val="single"/>
          <w:lang w:val="en-US" w:eastAsia="zh-CN"/>
        </w:rPr>
        <w:t xml:space="preserve">                     </w:t>
      </w:r>
    </w:p>
    <w:p>
      <w:pPr>
        <w:ind w:firstLine="1440" w:firstLineChars="478"/>
        <w:rPr>
          <w:rFonts w:hint="eastAsia" w:ascii="仿宋" w:hAnsi="仿宋" w:eastAsia="仿宋" w:cs="仿宋"/>
          <w:b/>
          <w:bCs/>
          <w:color w:val="auto"/>
          <w:sz w:val="30"/>
          <w:szCs w:val="30"/>
        </w:rPr>
      </w:pPr>
      <w:r>
        <w:rPr>
          <w:rFonts w:hint="eastAsia" w:ascii="仿宋" w:hAnsi="仿宋" w:eastAsia="仿宋" w:cs="仿宋"/>
          <w:b/>
          <w:bCs/>
          <w:color w:val="auto"/>
          <w:sz w:val="30"/>
          <w:szCs w:val="30"/>
        </w:rPr>
        <w:t>企业名称（盖章）</w:t>
      </w:r>
      <w:r>
        <w:rPr>
          <w:rFonts w:hint="eastAsia" w:ascii="仿宋" w:hAnsi="仿宋" w:eastAsia="仿宋" w:cs="仿宋"/>
          <w:b/>
          <w:bCs/>
          <w:color w:val="auto"/>
          <w:sz w:val="30"/>
          <w:szCs w:val="30"/>
          <w:u w:val="single"/>
          <w:lang w:val="en-US" w:eastAsia="zh-CN"/>
        </w:rPr>
        <w:t xml:space="preserve">                    </w:t>
      </w:r>
    </w:p>
    <w:p>
      <w:pPr>
        <w:ind w:firstLine="1440" w:firstLineChars="478"/>
        <w:rPr>
          <w:rFonts w:hint="eastAsia" w:ascii="仿宋" w:hAnsi="仿宋" w:eastAsia="仿宋" w:cs="仿宋"/>
          <w:b/>
          <w:bCs/>
          <w:color w:val="auto"/>
          <w:sz w:val="30"/>
          <w:szCs w:val="30"/>
        </w:rPr>
      </w:pPr>
      <w:r>
        <w:rPr>
          <w:rFonts w:hint="eastAsia" w:ascii="仿宋" w:hAnsi="仿宋" w:eastAsia="仿宋" w:cs="仿宋"/>
          <w:b/>
          <w:bCs/>
          <w:color w:val="auto"/>
          <w:sz w:val="30"/>
          <w:szCs w:val="30"/>
        </w:rPr>
        <w:t xml:space="preserve">填   报  日  期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rPr>
        <w:t>日</w:t>
      </w:r>
    </w:p>
    <w:p>
      <w:pPr>
        <w:spacing w:line="240" w:lineRule="auto"/>
        <w:ind w:firstLine="881"/>
        <w:jc w:val="center"/>
        <w:rPr>
          <w:rFonts w:ascii="等线" w:hAnsi="等线" w:eastAsia="等线"/>
          <w:b/>
          <w:bCs/>
          <w:color w:val="auto"/>
          <w:sz w:val="44"/>
          <w:szCs w:val="44"/>
        </w:rPr>
      </w:pPr>
      <w:r>
        <w:rPr>
          <w:rFonts w:hint="eastAsia"/>
          <w:b/>
          <w:bCs/>
          <w:color w:val="auto"/>
          <w:sz w:val="44"/>
          <w:szCs w:val="44"/>
        </w:rPr>
        <w:t xml:space="preserve"> </w:t>
      </w:r>
    </w:p>
    <w:p>
      <w:pPr>
        <w:spacing w:line="240" w:lineRule="auto"/>
        <w:ind w:firstLine="881"/>
        <w:jc w:val="center"/>
        <w:rPr>
          <w:b/>
          <w:bCs/>
          <w:color w:val="auto"/>
          <w:sz w:val="44"/>
          <w:szCs w:val="44"/>
        </w:rPr>
      </w:pPr>
      <w:r>
        <w:rPr>
          <w:rFonts w:hint="eastAsia"/>
          <w:b/>
          <w:bCs/>
          <w:color w:val="auto"/>
          <w:sz w:val="44"/>
          <w:szCs w:val="44"/>
        </w:rPr>
        <w:t xml:space="preserve"> </w:t>
      </w:r>
    </w:p>
    <w:p>
      <w:pPr>
        <w:spacing w:line="240" w:lineRule="auto"/>
        <w:ind w:firstLine="721"/>
        <w:jc w:val="center"/>
        <w:rPr>
          <w:rFonts w:hint="eastAsia" w:ascii="华文中宋" w:hAnsi="华文中宋" w:eastAsia="华文中宋"/>
          <w:b/>
          <w:bCs/>
          <w:color w:val="auto"/>
          <w:sz w:val="36"/>
          <w:szCs w:val="36"/>
        </w:rPr>
      </w:pPr>
      <w:r>
        <w:rPr>
          <w:rFonts w:hint="eastAsia" w:ascii="华文中宋" w:hAnsi="华文中宋" w:eastAsia="华文中宋"/>
          <w:b/>
          <w:bCs/>
          <w:color w:val="auto"/>
          <w:sz w:val="36"/>
          <w:szCs w:val="36"/>
        </w:rPr>
        <w:t xml:space="preserve">企业基本情况 </w:t>
      </w:r>
    </w:p>
    <w:p>
      <w:pPr>
        <w:spacing w:line="240" w:lineRule="auto"/>
        <w:ind w:firstLine="721"/>
        <w:jc w:val="center"/>
        <w:rPr>
          <w:rFonts w:hint="eastAsia" w:ascii="华文中宋" w:hAnsi="华文中宋" w:eastAsia="华文中宋"/>
          <w:b/>
          <w:bCs/>
          <w:color w:val="auto"/>
          <w:sz w:val="36"/>
          <w:szCs w:val="36"/>
        </w:rPr>
      </w:pPr>
    </w:p>
    <w:tbl>
      <w:tblPr>
        <w:tblStyle w:val="5"/>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07"/>
        <w:gridCol w:w="612"/>
        <w:gridCol w:w="1549"/>
        <w:gridCol w:w="708"/>
        <w:gridCol w:w="187"/>
        <w:gridCol w:w="65"/>
        <w:gridCol w:w="21"/>
        <w:gridCol w:w="1377"/>
        <w:gridCol w:w="270"/>
        <w:gridCol w:w="775"/>
        <w:gridCol w:w="515"/>
        <w:gridCol w:w="194"/>
        <w:gridCol w:w="313"/>
        <w:gridCol w:w="10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bookmarkStart w:id="0" w:name="_Hlk3276682"/>
            <w:r>
              <w:rPr>
                <w:rFonts w:hint="eastAsia" w:ascii="宋体" w:hAnsi="宋体"/>
                <w:b/>
                <w:bCs/>
                <w:color w:val="auto"/>
                <w:sz w:val="24"/>
              </w:rPr>
              <w:t>企业名称</w:t>
            </w:r>
            <w:bookmarkEnd w:id="0"/>
          </w:p>
        </w:tc>
        <w:tc>
          <w:tcPr>
            <w:tcW w:w="417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会员级别</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企业登记</w:t>
            </w:r>
          </w:p>
          <w:p>
            <w:pPr>
              <w:jc w:val="center"/>
              <w:rPr>
                <w:rFonts w:ascii="宋体" w:hAnsi="宋体"/>
                <w:b/>
                <w:bCs/>
                <w:color w:val="auto"/>
                <w:sz w:val="24"/>
              </w:rPr>
            </w:pPr>
            <w:r>
              <w:rPr>
                <w:rFonts w:hint="eastAsia" w:ascii="宋体" w:hAnsi="宋体"/>
                <w:b/>
                <w:bCs/>
                <w:color w:val="auto"/>
                <w:sz w:val="24"/>
              </w:rPr>
              <w:t>注册类型</w:t>
            </w:r>
          </w:p>
        </w:tc>
        <w:tc>
          <w:tcPr>
            <w:tcW w:w="417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4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邮    编</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联系地址</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企业成立时间</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企业网址</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统一社会</w:t>
            </w:r>
          </w:p>
          <w:p>
            <w:pPr>
              <w:jc w:val="center"/>
              <w:rPr>
                <w:rFonts w:ascii="宋体" w:hAnsi="宋体"/>
                <w:b/>
                <w:bCs/>
                <w:color w:val="auto"/>
                <w:sz w:val="24"/>
              </w:rPr>
            </w:pPr>
            <w:r>
              <w:rPr>
                <w:rFonts w:hint="eastAsia" w:ascii="宋体" w:hAnsi="宋体"/>
                <w:b/>
                <w:bCs/>
                <w:color w:val="auto"/>
                <w:sz w:val="24"/>
              </w:rPr>
              <w:t>信用代码</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法人代表</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总 经 理</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姓   名</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电    话</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color w:val="auto"/>
                <w:sz w:val="24"/>
              </w:rPr>
            </w:pP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手   机</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邮    箱</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联系人</w:t>
            </w: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姓   名</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电    话</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color w:val="auto"/>
                <w:sz w:val="24"/>
              </w:rPr>
            </w:pPr>
          </w:p>
        </w:tc>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手   机</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邮    箱</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是否总部型企业</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□是  □否</w:t>
            </w:r>
          </w:p>
        </w:tc>
        <w:tc>
          <w:tcPr>
            <w:tcW w:w="19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与开发企业关系</w:t>
            </w: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□隶属</w:t>
            </w:r>
            <w:r>
              <w:rPr>
                <w:rFonts w:hint="eastAsia" w:ascii="宋体" w:hAnsi="宋体"/>
                <w:color w:val="auto"/>
                <w:w w:val="50"/>
                <w:sz w:val="24"/>
              </w:rPr>
              <w:t xml:space="preserve"> </w:t>
            </w:r>
            <w:r>
              <w:rPr>
                <w:rFonts w:hint="eastAsia" w:ascii="宋体" w:hAnsi="宋体"/>
                <w:color w:val="auto"/>
                <w:sz w:val="24"/>
              </w:rPr>
              <w:t>□合作</w:t>
            </w:r>
            <w:r>
              <w:rPr>
                <w:rFonts w:hint="eastAsia" w:ascii="宋体" w:hAnsi="宋体"/>
                <w:color w:val="auto"/>
                <w:w w:val="50"/>
                <w:sz w:val="24"/>
              </w:rPr>
              <w:t xml:space="preserve"> </w:t>
            </w:r>
            <w:r>
              <w:rPr>
                <w:rFonts w:hint="eastAsia" w:ascii="宋体" w:hAnsi="宋体"/>
                <w:color w:val="auto"/>
                <w:sz w:val="24"/>
              </w:rPr>
              <w:t>□无关系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38"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主营业务</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CellMar>
            <w:top w:w="0" w:type="dxa"/>
            <w:left w:w="108" w:type="dxa"/>
            <w:bottom w:w="0" w:type="dxa"/>
            <w:right w:w="108" w:type="dxa"/>
          </w:tblCellMar>
        </w:tblPrEx>
        <w:trPr>
          <w:trHeight w:val="1959"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lang w:eastAsia="zh-CN"/>
              </w:rPr>
              <w:t>2</w:t>
            </w:r>
            <w:r>
              <w:rPr>
                <w:rFonts w:hint="eastAsia" w:ascii="宋体" w:hAnsi="宋体"/>
                <w:b/>
                <w:bCs/>
                <w:color w:val="auto"/>
                <w:sz w:val="24"/>
                <w:lang w:val="en-US" w:eastAsia="zh-CN"/>
              </w:rPr>
              <w:t>020</w:t>
            </w:r>
            <w:r>
              <w:rPr>
                <w:rFonts w:hint="eastAsia" w:ascii="宋体" w:hAnsi="宋体"/>
                <w:b/>
                <w:bCs/>
                <w:color w:val="auto"/>
                <w:sz w:val="24"/>
              </w:rPr>
              <w:t>年获得省部级以上表彰情况</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210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lang w:eastAsia="zh-CN"/>
              </w:rPr>
              <w:t>2</w:t>
            </w:r>
            <w:r>
              <w:rPr>
                <w:rFonts w:hint="eastAsia" w:ascii="宋体" w:hAnsi="宋体"/>
                <w:b/>
                <w:bCs/>
                <w:color w:val="auto"/>
                <w:sz w:val="24"/>
                <w:lang w:val="en-US" w:eastAsia="zh-CN"/>
              </w:rPr>
              <w:t>020</w:t>
            </w:r>
            <w:r>
              <w:rPr>
                <w:rFonts w:hint="eastAsia" w:ascii="宋体" w:hAnsi="宋体"/>
                <w:b/>
                <w:bCs/>
                <w:color w:val="auto"/>
                <w:sz w:val="24"/>
              </w:rPr>
              <w:t>年企业</w:t>
            </w:r>
          </w:p>
          <w:p>
            <w:pPr>
              <w:jc w:val="center"/>
              <w:rPr>
                <w:rFonts w:ascii="宋体" w:hAnsi="宋体"/>
                <w:b/>
                <w:bCs/>
                <w:color w:val="auto"/>
                <w:sz w:val="24"/>
              </w:rPr>
            </w:pPr>
            <w:r>
              <w:rPr>
                <w:rFonts w:hint="eastAsia" w:ascii="宋体" w:hAnsi="宋体"/>
                <w:b/>
                <w:bCs/>
                <w:color w:val="auto"/>
                <w:sz w:val="24"/>
              </w:rPr>
              <w:t>重大事件</w:t>
            </w:r>
          </w:p>
        </w:tc>
        <w:tc>
          <w:tcPr>
            <w:tcW w:w="6996"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续表1  企业从业人员情况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数量</w:t>
            </w: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年人均工资</w:t>
            </w:r>
          </w:p>
          <w:p>
            <w:pPr>
              <w:jc w:val="center"/>
              <w:rPr>
                <w:rFonts w:ascii="宋体" w:hAnsi="宋体"/>
                <w:b/>
                <w:bCs/>
                <w:color w:val="auto"/>
                <w:sz w:val="24"/>
              </w:rPr>
            </w:pPr>
            <w:r>
              <w:rPr>
                <w:rFonts w:hint="eastAsia" w:ascii="宋体" w:hAnsi="宋体"/>
                <w:b/>
                <w:bCs/>
                <w:color w:val="auto"/>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企业从业人员总数</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101</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一、按岗位分类</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102</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（一）经营管理人员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103</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其中：企业高层管理人员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104</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管理处主任（项目经理）</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105</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管理员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106</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（二）操作人员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107</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其中：工程维修工</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108</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秩序维护员</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109</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清洁工</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110</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绿化工</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111</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其他工种</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112</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15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c>
          <w:tcPr>
            <w:tcW w:w="152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二、按学历分类</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其中：博士研究生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113</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硕士研究生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114</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本科生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115</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大专生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116</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中专生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117</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 xml:space="preserve">        高中以下</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118</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color w:val="auto"/>
                <w:sz w:val="24"/>
              </w:rPr>
              <w:t>三、</w:t>
            </w:r>
            <w:r>
              <w:rPr>
                <w:rFonts w:hint="eastAsia"/>
                <w:color w:val="auto"/>
                <w:w w:val="95"/>
                <w:sz w:val="24"/>
              </w:rPr>
              <w:t>年度安置就业、再就业总人数</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119</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color w:val="auto"/>
                <w:sz w:val="24"/>
              </w:rPr>
              <w:t>其中：接收应届本科毕业生</w:t>
            </w:r>
          </w:p>
        </w:tc>
        <w:tc>
          <w:tcPr>
            <w:tcW w:w="96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120</w:t>
            </w:r>
          </w:p>
        </w:tc>
        <w:tc>
          <w:tcPr>
            <w:tcW w:w="139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ascii="宋体" w:hAnsi="宋体"/>
                <w:color w:val="auto"/>
                <w:sz w:val="24"/>
              </w:rPr>
            </w:pPr>
            <w:r>
              <w:rPr>
                <w:rFonts w:hint="eastAsia"/>
                <w:color w:val="auto"/>
                <w:sz w:val="24"/>
              </w:rPr>
              <w:t>安置部队复转退军人</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684" w:firstLineChars="300"/>
              <w:rPr>
                <w:rFonts w:ascii="宋体" w:hAnsi="宋体"/>
                <w:color w:val="auto"/>
                <w:sz w:val="24"/>
              </w:rPr>
            </w:pPr>
            <w:r>
              <w:rPr>
                <w:rFonts w:hint="eastAsia"/>
                <w:color w:val="auto"/>
                <w:w w:val="95"/>
                <w:sz w:val="24"/>
              </w:rPr>
              <w:t>安置下岗、失业人员再就业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ascii="宋体" w:hAnsi="宋体"/>
                <w:color w:val="auto"/>
                <w:sz w:val="24"/>
              </w:rPr>
            </w:pPr>
            <w:r>
              <w:rPr>
                <w:rFonts w:hint="eastAsia"/>
                <w:color w:val="auto"/>
                <w:sz w:val="24"/>
              </w:rPr>
              <w:t>接收农村务工人员</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hint="eastAsia" w:ascii="宋体" w:hAnsi="宋体" w:eastAsia="宋体"/>
                <w:color w:val="auto"/>
                <w:sz w:val="24"/>
                <w:lang w:eastAsia="zh-CN"/>
              </w:rPr>
            </w:pPr>
            <w:r>
              <w:rPr>
                <w:rFonts w:hint="eastAsia"/>
                <w:color w:val="auto"/>
                <w:sz w:val="24"/>
              </w:rPr>
              <w:t>接收建档立卡贫困</w:t>
            </w:r>
            <w:r>
              <w:rPr>
                <w:rFonts w:hint="eastAsia"/>
                <w:color w:val="auto"/>
                <w:sz w:val="24"/>
                <w:lang w:val="en-US" w:eastAsia="zh-CN"/>
              </w:rPr>
              <w:t>劳动力</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ascii="宋体" w:hAnsi="宋体"/>
                <w:color w:val="auto"/>
                <w:sz w:val="24"/>
              </w:rPr>
            </w:pPr>
            <w:r>
              <w:rPr>
                <w:rFonts w:hint="eastAsia"/>
                <w:color w:val="auto"/>
                <w:sz w:val="24"/>
              </w:rPr>
              <w:t>接收残疾人群体</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125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人</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color w:val="auto"/>
                <w:sz w:val="24"/>
              </w:rPr>
            </w:pPr>
            <w:r>
              <w:rPr>
                <w:rFonts w:hint="eastAsia"/>
                <w:color w:val="auto"/>
                <w:sz w:val="24"/>
              </w:rPr>
              <w:t>四、企业从业人员流失率</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126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7"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续表2  物业管理项目情况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项目数</w:t>
            </w:r>
          </w:p>
          <w:p>
            <w:pPr>
              <w:jc w:val="center"/>
              <w:rPr>
                <w:rFonts w:ascii="宋体" w:hAnsi="宋体"/>
                <w:b/>
                <w:bCs/>
                <w:color w:val="auto"/>
                <w:sz w:val="24"/>
              </w:rPr>
            </w:pPr>
            <w:r>
              <w:rPr>
                <w:rFonts w:hint="eastAsia" w:ascii="宋体" w:hAnsi="宋体"/>
                <w:b/>
                <w:bCs/>
                <w:color w:val="auto"/>
                <w:sz w:val="24"/>
              </w:rPr>
              <w:t>（个）</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房屋建筑面积</w:t>
            </w:r>
          </w:p>
          <w:p>
            <w:pPr>
              <w:jc w:val="center"/>
              <w:rPr>
                <w:rFonts w:ascii="宋体" w:hAnsi="宋体"/>
                <w:b/>
                <w:bCs/>
                <w:color w:val="auto"/>
                <w:sz w:val="24"/>
              </w:rPr>
            </w:pPr>
            <w:r>
              <w:rPr>
                <w:rFonts w:hint="eastAsia" w:ascii="宋体" w:hAnsi="宋体"/>
                <w:b/>
                <w:bCs/>
                <w:color w:val="auto"/>
                <w:sz w:val="24"/>
              </w:rPr>
              <w:t>（万m</w:t>
            </w:r>
            <w:r>
              <w:rPr>
                <w:rFonts w:hint="eastAsia" w:ascii="宋体" w:hAnsi="宋体"/>
                <w:b/>
                <w:bCs/>
                <w:color w:val="auto"/>
                <w:sz w:val="24"/>
                <w:vertAlign w:val="superscript"/>
              </w:rPr>
              <w:t>2</w:t>
            </w:r>
            <w:r>
              <w:rPr>
                <w:rFonts w:hint="eastAsia" w:ascii="宋体" w:hAnsi="宋体"/>
                <w:b/>
                <w:bCs/>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olor w:val="auto"/>
                <w:sz w:val="24"/>
              </w:rPr>
            </w:pPr>
            <w:r>
              <w:rPr>
                <w:rFonts w:hint="eastAsia" w:ascii="宋体" w:hAnsi="宋体"/>
                <w:color w:val="auto"/>
                <w:sz w:val="24"/>
              </w:rPr>
              <w:t>一、管理物业项目总数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 w:val="24"/>
              </w:rPr>
            </w:pPr>
            <w:r>
              <w:rPr>
                <w:rFonts w:hint="eastAsia" w:ascii="宋体" w:hAnsi="宋体"/>
                <w:color w:val="auto"/>
                <w:sz w:val="24"/>
              </w:rPr>
              <w:t>201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宋体" w:hAnsi="宋体" w:eastAsia="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lang w:val="en-US" w:eastAsia="zh-CN"/>
              </w:rPr>
              <w:t>按项目来源分类</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ind w:firstLine="480" w:firstLineChars="200"/>
              <w:rPr>
                <w:rFonts w:hint="eastAsia" w:ascii="宋体" w:hAnsi="宋体"/>
                <w:color w:val="auto"/>
                <w:sz w:val="24"/>
              </w:rPr>
            </w:pPr>
            <w:r>
              <w:rPr>
                <w:rFonts w:hint="eastAsia" w:ascii="宋体" w:hAnsi="宋体"/>
                <w:color w:val="auto"/>
                <w:sz w:val="24"/>
              </w:rPr>
              <w:t>其中：承接所属或合作开发商项目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外拓第三方项目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（二）按项目业态分类</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olor w:val="auto"/>
                <w:sz w:val="24"/>
                <w:lang w:val="en-US" w:eastAsia="zh-CN"/>
              </w:rPr>
            </w:pPr>
            <w:r>
              <w:rPr>
                <w:rFonts w:hint="eastAsia" w:ascii="宋体" w:hAnsi="宋体"/>
                <w:color w:val="auto"/>
                <w:sz w:val="24"/>
                <w:lang w:val="en-US" w:eastAsia="zh-CN"/>
              </w:rPr>
              <w:t>205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1.住宅物业项目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其中：多层住宅</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高层住宅</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独立式住宅</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20</w:t>
            </w:r>
            <w:r>
              <w:rPr>
                <w:rFonts w:hint="eastAsia" w:ascii="宋体" w:hAnsi="宋体"/>
                <w:color w:val="auto"/>
                <w:sz w:val="24"/>
                <w:lang w:val="en-US" w:eastAsia="zh-CN"/>
              </w:rPr>
              <w:t>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2.办公物业项目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10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其中：写字楼物业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政府机关办公物业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3.产业园区物业项目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4.商业物业  </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14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5.</w:t>
            </w:r>
            <w:r>
              <w:rPr>
                <w:rFonts w:hint="eastAsia" w:ascii="宋体" w:hAnsi="宋体"/>
                <w:color w:val="auto"/>
                <w:sz w:val="24"/>
              </w:rPr>
              <w:t>学校物业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6.</w:t>
            </w:r>
            <w:r>
              <w:rPr>
                <w:rFonts w:hint="eastAsia" w:ascii="宋体" w:hAnsi="宋体"/>
                <w:color w:val="auto"/>
                <w:sz w:val="24"/>
              </w:rPr>
              <w:t>医院物业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216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7.公众物业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21</w:t>
            </w:r>
            <w:r>
              <w:rPr>
                <w:rFonts w:hint="eastAsia" w:ascii="宋体" w:hAnsi="宋体"/>
                <w:color w:val="auto"/>
                <w:sz w:val="24"/>
                <w:lang w:val="en-US" w:eastAsia="zh-CN"/>
              </w:rPr>
              <w:t>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其中：场馆类物业场馆物业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21</w:t>
            </w:r>
            <w:r>
              <w:rPr>
                <w:rFonts w:hint="eastAsia" w:ascii="宋体" w:hAnsi="宋体"/>
                <w:color w:val="auto"/>
                <w:sz w:val="24"/>
                <w:lang w:val="en-US" w:eastAsia="zh-CN"/>
              </w:rPr>
              <w:t>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公共交通类物业（除机场）</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eastAsia="zh-CN"/>
              </w:rPr>
            </w:pPr>
            <w:r>
              <w:rPr>
                <w:rFonts w:hint="eastAsia" w:ascii="宋体" w:hAnsi="宋体"/>
                <w:color w:val="auto"/>
                <w:sz w:val="24"/>
              </w:rPr>
              <w:t>21</w:t>
            </w:r>
            <w:r>
              <w:rPr>
                <w:rFonts w:hint="eastAsia" w:ascii="宋体" w:hAnsi="宋体"/>
                <w:color w:val="auto"/>
                <w:sz w:val="24"/>
                <w:lang w:val="en-US" w:eastAsia="zh-CN"/>
              </w:rPr>
              <w:t>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航空物业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220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其他公建类物业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221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default" w:ascii="宋体" w:hAnsi="宋体" w:eastAsia="宋体"/>
                <w:color w:val="auto"/>
                <w:sz w:val="24"/>
                <w:lang w:val="en-US" w:eastAsia="zh-CN"/>
              </w:rPr>
            </w:pPr>
            <w:r>
              <w:rPr>
                <w:rFonts w:hint="eastAsia" w:ascii="宋体" w:hAnsi="宋体"/>
                <w:color w:val="auto"/>
                <w:sz w:val="24"/>
              </w:rPr>
              <w:t xml:space="preserve">  </w:t>
            </w:r>
            <w:r>
              <w:rPr>
                <w:rFonts w:hint="eastAsia" w:ascii="宋体" w:hAnsi="宋体"/>
                <w:color w:val="auto"/>
                <w:sz w:val="24"/>
                <w:lang w:val="en-US" w:eastAsia="zh-CN"/>
              </w:rPr>
              <w:t>8.其他类型物业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auto"/>
                <w:sz w:val="24"/>
                <w:lang w:val="en-US" w:eastAsia="zh-CN"/>
              </w:rPr>
            </w:pPr>
            <w:r>
              <w:rPr>
                <w:rFonts w:hint="eastAsia" w:ascii="宋体" w:hAnsi="宋体"/>
                <w:color w:val="auto"/>
                <w:sz w:val="24"/>
                <w:lang w:val="en-US" w:eastAsia="zh-CN"/>
              </w:rPr>
              <w:t>222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二、合同储备项目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23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三、物业顾问项目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24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四、保障性住房项目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225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7"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续表3  企业基本业务外包情况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项目数（个）</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房屋建筑面积</w:t>
            </w:r>
          </w:p>
          <w:p>
            <w:pPr>
              <w:jc w:val="center"/>
              <w:rPr>
                <w:rFonts w:ascii="宋体" w:hAnsi="宋体"/>
                <w:b/>
                <w:bCs/>
                <w:color w:val="auto"/>
                <w:sz w:val="24"/>
              </w:rPr>
            </w:pPr>
            <w:r>
              <w:rPr>
                <w:rFonts w:hint="eastAsia" w:ascii="宋体" w:hAnsi="宋体"/>
                <w:b/>
                <w:bCs/>
                <w:color w:val="auto"/>
                <w:sz w:val="24"/>
              </w:rPr>
              <w:t>（万m</w:t>
            </w:r>
            <w:r>
              <w:rPr>
                <w:rFonts w:hint="eastAsia" w:ascii="宋体" w:hAnsi="宋体"/>
                <w:b/>
                <w:bCs/>
                <w:color w:val="auto"/>
                <w:sz w:val="24"/>
                <w:vertAlign w:val="superscript"/>
              </w:rPr>
              <w:t>2</w:t>
            </w:r>
            <w:r>
              <w:rPr>
                <w:rFonts w:hint="eastAsia" w:ascii="宋体" w:hAnsi="宋体"/>
                <w:b/>
                <w:bCs/>
                <w:color w:val="auto"/>
                <w:sz w:val="24"/>
              </w:rPr>
              <w:t>）</w:t>
            </w: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外包单位投入人数</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bCs/>
                <w:color w:val="auto"/>
                <w:sz w:val="24"/>
                <w:lang w:val="en-US" w:eastAsia="zh-CN"/>
              </w:rPr>
            </w:pPr>
            <w:r>
              <w:rPr>
                <w:rFonts w:hint="eastAsia" w:ascii="宋体" w:hAnsi="宋体"/>
                <w:b/>
                <w:bCs/>
                <w:color w:val="auto"/>
                <w:sz w:val="24"/>
                <w:lang w:val="en-US" w:eastAsia="zh-CN"/>
              </w:rPr>
              <w:t>投入费用（万元）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r>
              <w:rPr>
                <w:rFonts w:hint="eastAsia" w:ascii="宋体" w:hAnsi="宋体"/>
                <w:b/>
                <w:bCs/>
                <w:color w:val="auto"/>
                <w:sz w:val="24"/>
              </w:rPr>
              <w:t>企业外包项目合计</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一、设备维修养护业务外包项目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二、秩序维护业务外包项目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三、保洁业务外包项目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四、绿化业务外包项目</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305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续表4  企业经营情况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指标名称</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olor w:val="auto"/>
                <w:sz w:val="24"/>
                <w:szCs w:val="32"/>
              </w:rPr>
            </w:pPr>
            <w:r>
              <w:rPr>
                <w:rFonts w:hint="eastAsia" w:ascii="宋体" w:hAnsi="宋体"/>
                <w:color w:val="auto"/>
                <w:sz w:val="24"/>
                <w:szCs w:val="32"/>
              </w:rPr>
              <w:t>一、总资产</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 w:val="24"/>
                <w:szCs w:val="32"/>
              </w:rPr>
            </w:pPr>
            <w:r>
              <w:rPr>
                <w:rFonts w:hint="eastAsia" w:ascii="宋体" w:hAnsi="宋体"/>
                <w:color w:val="auto"/>
                <w:sz w:val="24"/>
                <w:szCs w:val="32"/>
              </w:rPr>
              <w:t>401</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szCs w:val="32"/>
              </w:rPr>
            </w:pPr>
            <w:r>
              <w:rPr>
                <w:rFonts w:hint="eastAsia" w:ascii="宋体" w:hAnsi="宋体"/>
                <w:color w:val="auto"/>
                <w:sz w:val="24"/>
                <w:szCs w:val="32"/>
              </w:rPr>
              <w:t xml:space="preserve">    其中：净资产</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402</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olor w:val="auto"/>
                <w:sz w:val="24"/>
              </w:rPr>
            </w:pPr>
            <w:r>
              <w:rPr>
                <w:rFonts w:hint="eastAsia" w:ascii="宋体" w:hAnsi="宋体"/>
                <w:color w:val="auto"/>
                <w:sz w:val="24"/>
              </w:rPr>
              <w:t>二、年经营总收入</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403</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rPr>
            </w:pPr>
            <w:r>
              <w:rPr>
                <w:rFonts w:hint="eastAsia" w:ascii="宋体" w:hAnsi="宋体"/>
                <w:color w:val="auto"/>
                <w:sz w:val="24"/>
              </w:rPr>
              <w:t>（一）物业服务费收入</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404</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1.住宅物业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405</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2.办公物业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32"/>
              </w:rPr>
            </w:pPr>
            <w:r>
              <w:rPr>
                <w:rFonts w:hint="eastAsia" w:ascii="宋体" w:hAnsi="宋体"/>
                <w:color w:val="auto"/>
                <w:sz w:val="24"/>
                <w:szCs w:val="32"/>
              </w:rPr>
              <w:t>406</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 xml:space="preserve">    其中：企业办公物业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407</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宋体" w:hAnsi="宋体" w:eastAsia="宋体"/>
                <w:color w:val="auto"/>
                <w:sz w:val="24"/>
                <w:lang w:val="en-US" w:eastAsia="zh-CN"/>
              </w:rPr>
            </w:pPr>
            <w:r>
              <w:rPr>
                <w:rFonts w:hint="eastAsia" w:ascii="宋体" w:hAnsi="宋体"/>
                <w:color w:val="auto"/>
                <w:sz w:val="24"/>
              </w:rPr>
              <w:t>政府机关物业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408</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产业园区物业项目</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409</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sz w:val="24"/>
                <w:lang w:val="en-US" w:eastAsia="zh-CN"/>
              </w:rPr>
            </w:pPr>
            <w:r>
              <w:rPr>
                <w:rFonts w:hint="eastAsia" w:ascii="宋体" w:hAnsi="宋体"/>
                <w:color w:val="auto"/>
                <w:sz w:val="24"/>
                <w:lang w:val="en-US" w:eastAsia="zh-CN"/>
              </w:rPr>
              <w:t xml:space="preserve">  4.商业物业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410</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nil"/>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5.学校物业</w:t>
            </w:r>
          </w:p>
        </w:tc>
        <w:tc>
          <w:tcPr>
            <w:tcW w:w="981" w:type="dxa"/>
            <w:gridSpan w:val="4"/>
            <w:tcBorders>
              <w:top w:val="nil"/>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411</w:t>
            </w:r>
          </w:p>
        </w:tc>
        <w:tc>
          <w:tcPr>
            <w:tcW w:w="1377"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6.医院物业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rPr>
              <w:t>4</w:t>
            </w:r>
            <w:r>
              <w:rPr>
                <w:rFonts w:hint="eastAsia" w:ascii="宋体" w:hAnsi="宋体"/>
                <w:color w:val="auto"/>
                <w:sz w:val="24"/>
                <w:szCs w:val="32"/>
                <w:lang w:val="en-US" w:eastAsia="zh-CN"/>
              </w:rPr>
              <w:t>12</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7.公众物业</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3</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color w:val="auto"/>
                <w:sz w:val="24"/>
              </w:rPr>
            </w:pPr>
            <w:r>
              <w:rPr>
                <w:rFonts w:hint="eastAsia" w:ascii="宋体" w:hAnsi="宋体"/>
                <w:color w:val="auto"/>
                <w:sz w:val="24"/>
              </w:rPr>
              <w:t>其中：场馆类物业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公共交通类物业（除机场）</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航空物业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其他公建类物业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olor w:val="auto"/>
                <w:sz w:val="24"/>
              </w:rPr>
            </w:pPr>
            <w:r>
              <w:rPr>
                <w:rFonts w:hint="eastAsia" w:ascii="宋体" w:hAnsi="宋体"/>
                <w:color w:val="auto"/>
                <w:sz w:val="24"/>
              </w:rPr>
              <w:t>8.其他物业</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szCs w:val="32"/>
                <w:lang w:val="en-US" w:eastAsia="zh-CN"/>
              </w:rPr>
              <w:t>418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u w:val="none"/>
              </w:rPr>
              <w:t>（二）多种经营收入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szCs w:val="32"/>
                <w:lang w:eastAsia="zh-CN"/>
              </w:rPr>
            </w:pPr>
            <w:r>
              <w:rPr>
                <w:rFonts w:hint="eastAsia" w:ascii="宋体" w:hAnsi="宋体"/>
                <w:color w:val="auto"/>
                <w:sz w:val="24"/>
                <w:szCs w:val="32"/>
              </w:rPr>
              <w:t>41</w:t>
            </w:r>
            <w:r>
              <w:rPr>
                <w:rFonts w:hint="eastAsia" w:ascii="宋体" w:hAnsi="宋体"/>
                <w:color w:val="auto"/>
                <w:sz w:val="24"/>
                <w:szCs w:val="32"/>
                <w:lang w:val="en-US" w:eastAsia="zh-CN"/>
              </w:rPr>
              <w:t>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1.社区增值服务收入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其中：社区电商服务收入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社区房屋经纪收入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社区家政服务收入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社区养老服务收入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424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空间运营服务收入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社区美居装修收入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社区停车服务收入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社区金融收入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社区旅游收入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社区教育收入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社区其他</w:t>
            </w:r>
            <w:r>
              <w:rPr>
                <w:rFonts w:hint="eastAsia" w:ascii="宋体" w:hAnsi="宋体"/>
                <w:color w:val="auto"/>
                <w:sz w:val="24"/>
                <w:lang w:val="en-US" w:eastAsia="zh-CN"/>
              </w:rPr>
              <w:t>增值</w:t>
            </w:r>
            <w:r>
              <w:rPr>
                <w:rFonts w:hint="eastAsia" w:ascii="宋体" w:hAnsi="宋体"/>
                <w:color w:val="auto"/>
                <w:sz w:val="24"/>
              </w:rPr>
              <w:t>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431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2.非业主增值服务收入 </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rPr>
              <w:t>4</w:t>
            </w:r>
            <w:r>
              <w:rPr>
                <w:rFonts w:hint="eastAsia" w:ascii="宋体" w:hAnsi="宋体"/>
                <w:color w:val="auto"/>
                <w:sz w:val="24"/>
                <w:lang w:val="en-US" w:eastAsia="zh-CN"/>
              </w:rPr>
              <w:t>32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其中：案场服务收入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工程服务收入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顾问咨询收入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非业主其他增值服务收入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u w:val="single"/>
              </w:rPr>
            </w:pPr>
            <w:r>
              <w:rPr>
                <w:rFonts w:hint="eastAsia" w:ascii="宋体" w:hAnsi="宋体"/>
                <w:color w:val="auto"/>
                <w:sz w:val="24"/>
              </w:rPr>
              <w:t xml:space="preserve">  3.其它业务收入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437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三、营业成本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438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32"/>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（一)按业务线分</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439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1.物业管理服务成本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2.多种经营服务成本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其中：社区增值服务成本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非业主增值服务成本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其它业务成本</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（二)按类别分</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445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其中：人员费用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446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32"/>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jc w:val="left"/>
              <w:rPr>
                <w:rFonts w:hint="eastAsia" w:ascii="宋体" w:hAnsi="宋体"/>
                <w:color w:val="auto"/>
                <w:sz w:val="24"/>
              </w:rPr>
            </w:pPr>
            <w:r>
              <w:rPr>
                <w:rFonts w:hint="eastAsia" w:ascii="宋体" w:hAnsi="宋体"/>
                <w:color w:val="auto"/>
                <w:sz w:val="24"/>
              </w:rPr>
              <w:t>物业共用部位共用设施设备日常运行和维护费用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rPr>
              <w:t>4</w:t>
            </w:r>
            <w:r>
              <w:rPr>
                <w:rFonts w:hint="eastAsia" w:ascii="宋体" w:hAnsi="宋体"/>
                <w:color w:val="auto"/>
                <w:sz w:val="24"/>
                <w:lang w:val="en-US" w:eastAsia="zh-CN"/>
              </w:rPr>
              <w:t>47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32"/>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rFonts w:hint="eastAsia" w:ascii="宋体" w:hAnsi="宋体"/>
                <w:color w:val="auto"/>
                <w:sz w:val="24"/>
              </w:rPr>
            </w:pPr>
            <w:r>
              <w:rPr>
                <w:rFonts w:hint="eastAsia" w:ascii="宋体" w:hAnsi="宋体"/>
                <w:color w:val="auto"/>
                <w:sz w:val="24"/>
              </w:rPr>
              <w:t>绿化养护费</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448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清洁卫生费</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449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秩序维护费</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720" w:firstLineChars="300"/>
              <w:jc w:val="left"/>
              <w:rPr>
                <w:rFonts w:hint="eastAsia" w:ascii="宋体" w:hAnsi="宋体"/>
                <w:color w:val="auto"/>
                <w:sz w:val="24"/>
              </w:rPr>
            </w:pPr>
            <w:r>
              <w:rPr>
                <w:rFonts w:hint="eastAsia" w:ascii="宋体" w:hAnsi="宋体"/>
                <w:color w:val="auto"/>
                <w:sz w:val="24"/>
              </w:rPr>
              <w:t>物业共用部位共用设施设备及公众责任保险费用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办公费用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 xml:space="preserve">      其它费用</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四、企业智能化投入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rPr>
              <w:t>4</w:t>
            </w:r>
            <w:r>
              <w:rPr>
                <w:rFonts w:hint="eastAsia" w:ascii="宋体" w:hAnsi="宋体"/>
                <w:color w:val="auto"/>
                <w:sz w:val="24"/>
                <w:lang w:val="en-US" w:eastAsia="zh-CN"/>
              </w:rPr>
              <w:t>54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其中：企业自身智能化投入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455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hint="eastAsia" w:ascii="宋体" w:hAnsi="宋体"/>
                <w:color w:val="auto"/>
                <w:sz w:val="24"/>
              </w:rPr>
            </w:pPr>
            <w:r>
              <w:rPr>
                <w:rFonts w:hint="eastAsia" w:ascii="宋体" w:hAnsi="宋体"/>
                <w:color w:val="auto"/>
                <w:sz w:val="24"/>
              </w:rPr>
              <w:t>在管物业智能化投入</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456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color w:val="auto"/>
                <w:sz w:val="24"/>
              </w:rPr>
            </w:pPr>
            <w:r>
              <w:rPr>
                <w:rFonts w:hint="eastAsia" w:ascii="宋体" w:hAnsi="宋体"/>
                <w:color w:val="auto"/>
                <w:sz w:val="24"/>
              </w:rPr>
              <w:t>五、利润总额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auto"/>
                <w:sz w:val="24"/>
                <w:lang w:val="en-US" w:eastAsia="zh-CN"/>
              </w:rPr>
            </w:pPr>
            <w:r>
              <w:rPr>
                <w:rFonts w:hint="eastAsia" w:ascii="宋体" w:hAnsi="宋体"/>
                <w:color w:val="auto"/>
                <w:sz w:val="24"/>
                <w:lang w:val="en-US" w:eastAsia="zh-CN"/>
              </w:rPr>
              <w:t>457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宋体" w:hAnsi="宋体"/>
                <w:color w:val="auto"/>
                <w:sz w:val="24"/>
              </w:rPr>
            </w:pPr>
            <w:r>
              <w:rPr>
                <w:rFonts w:hint="eastAsia" w:ascii="宋体" w:hAnsi="宋体"/>
                <w:color w:val="auto"/>
                <w:sz w:val="24"/>
              </w:rPr>
              <w:t>其中：多种经营利润总额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auto"/>
                <w:sz w:val="24"/>
                <w:lang w:val="en-US" w:eastAsia="zh-CN"/>
              </w:rPr>
            </w:pPr>
            <w:r>
              <w:rPr>
                <w:rFonts w:hint="eastAsia" w:ascii="宋体" w:hAnsi="宋体"/>
                <w:color w:val="auto"/>
                <w:sz w:val="24"/>
                <w:lang w:val="en-US" w:eastAsia="zh-CN"/>
              </w:rPr>
              <w:t>458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lang w:val="en-US" w:eastAsia="zh-CN"/>
              </w:rPr>
              <w:t>六</w:t>
            </w:r>
            <w:r>
              <w:rPr>
                <w:rFonts w:hint="eastAsia" w:ascii="宋体" w:hAnsi="宋体"/>
                <w:color w:val="auto"/>
                <w:sz w:val="24"/>
              </w:rPr>
              <w:t>、年净利润</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459</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olor w:val="auto"/>
                <w:sz w:val="24"/>
              </w:rPr>
            </w:pPr>
            <w:r>
              <w:rPr>
                <w:rFonts w:hint="eastAsia" w:ascii="宋体" w:hAnsi="宋体"/>
                <w:color w:val="auto"/>
                <w:sz w:val="24"/>
              </w:rPr>
              <w:t>其中：多种经营净利润</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460</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lang w:val="en-US" w:eastAsia="zh-CN"/>
              </w:rPr>
              <w:t>七</w:t>
            </w:r>
            <w:r>
              <w:rPr>
                <w:rFonts w:hint="eastAsia" w:ascii="宋体" w:hAnsi="宋体"/>
                <w:color w:val="auto"/>
                <w:sz w:val="24"/>
              </w:rPr>
              <w:t>、年度纳税总额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461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、企业年度捐赠总额</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 w:val="24"/>
                <w:szCs w:val="32"/>
                <w:lang w:val="en-US" w:eastAsia="zh-CN"/>
              </w:rPr>
            </w:pPr>
            <w:r>
              <w:rPr>
                <w:rFonts w:hint="eastAsia" w:ascii="宋体" w:hAnsi="宋体"/>
                <w:color w:val="auto"/>
                <w:sz w:val="24"/>
                <w:lang w:val="en-US" w:eastAsia="zh-CN"/>
              </w:rPr>
              <w:t>462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万元</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续表5  业主满意度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一、业主满意度分值</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二、第三方机构名称</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三、业主满意度的抽样率（%）</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18"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四、业主满意度内容（多选）</w:t>
            </w:r>
          </w:p>
        </w:tc>
        <w:tc>
          <w:tcPr>
            <w:tcW w:w="5447"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rPr>
            </w:pPr>
            <w:r>
              <w:rPr>
                <w:rFonts w:hint="eastAsia" w:ascii="宋体" w:hAnsi="宋体"/>
                <w:color w:val="auto"/>
                <w:sz w:val="24"/>
              </w:rPr>
              <w:t>□总体服务 □客户服务 □秩序维护服务</w:t>
            </w:r>
          </w:p>
          <w:p>
            <w:pPr>
              <w:rPr>
                <w:rFonts w:ascii="宋体" w:hAnsi="宋体"/>
                <w:color w:val="auto"/>
                <w:sz w:val="24"/>
              </w:rPr>
            </w:pPr>
            <w:r>
              <w:rPr>
                <w:rFonts w:hint="eastAsia" w:ascii="宋体" w:hAnsi="宋体"/>
                <w:color w:val="auto"/>
                <w:sz w:val="24"/>
              </w:rPr>
              <w:t>□保洁服务 □维修服务 □绿化养护服务</w:t>
            </w:r>
          </w:p>
          <w:p>
            <w:pPr>
              <w:rPr>
                <w:rFonts w:ascii="宋体" w:hAnsi="宋体"/>
                <w:color w:val="auto"/>
                <w:sz w:val="24"/>
              </w:rPr>
            </w:pPr>
            <w:r>
              <w:rPr>
                <w:rFonts w:hint="eastAsia" w:ascii="宋体" w:hAnsi="宋体"/>
                <w:color w:val="auto"/>
                <w:sz w:val="24"/>
              </w:rPr>
              <w:t>□便民服务 □企业品牌 □社区文化活动</w:t>
            </w:r>
          </w:p>
          <w:p>
            <w:pPr>
              <w:rPr>
                <w:rFonts w:ascii="宋体" w:hAnsi="宋体"/>
                <w:color w:val="auto"/>
                <w:sz w:val="24"/>
              </w:rPr>
            </w:pPr>
            <w:r>
              <w:rPr>
                <w:rFonts w:hint="eastAsia" w:ascii="宋体" w:hAnsi="宋体"/>
                <w:color w:val="auto"/>
                <w:sz w:val="24"/>
              </w:rPr>
              <w:t xml:space="preserve">□其它服务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续表6  其它指标数据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指标名称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代码</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计量单位</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rPr>
            </w:pPr>
            <w:r>
              <w:rPr>
                <w:rFonts w:hint="eastAsia" w:ascii="宋体" w:hAnsi="宋体"/>
                <w:b/>
                <w:bCs/>
                <w:color w:val="auto"/>
                <w:sz w:val="24"/>
              </w:rPr>
              <w:t>数量/明细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 w:val="24"/>
              </w:rPr>
            </w:pPr>
            <w:r>
              <w:rPr>
                <w:rFonts w:hint="eastAsia" w:ascii="宋体" w:hAnsi="宋体"/>
                <w:color w:val="auto"/>
                <w:sz w:val="24"/>
              </w:rPr>
              <w:t>一、收购物业服务企业数量</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601</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 w:val="24"/>
              </w:rPr>
            </w:pPr>
            <w:r>
              <w:rPr>
                <w:rFonts w:hint="eastAsia" w:ascii="宋体" w:hAnsi="宋体"/>
                <w:color w:val="auto"/>
                <w:sz w:val="24"/>
              </w:rPr>
              <w:t>家</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二、收购物业管理面积</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602</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三、收购物业服务企业名称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603</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四、新进入具体城市名称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604</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五、物业管理项目续约率</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605</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4"/>
              </w:rPr>
            </w:pPr>
            <w:r>
              <w:rPr>
                <w:rFonts w:hint="eastAsia" w:ascii="宋体" w:hAnsi="宋体"/>
                <w:color w:val="auto"/>
                <w:sz w:val="24"/>
              </w:rPr>
              <w:t>六、住宅物业服务总户数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606</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万户</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auto"/>
              </w:rPr>
            </w:pPr>
            <w:r>
              <w:rPr>
                <w:rFonts w:hint="eastAsia"/>
                <w:b/>
                <w:bCs/>
                <w:color w:val="auto"/>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七</w:t>
            </w:r>
            <w:r>
              <w:rPr>
                <w:rFonts w:hint="eastAsia" w:ascii="宋体" w:hAnsi="宋体"/>
                <w:color w:val="auto"/>
                <w:sz w:val="24"/>
              </w:rPr>
              <w:t>、党组织建立和党建工作双覆盖</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4"/>
                <w:szCs w:val="24"/>
                <w:lang w:val="en-US" w:eastAsia="zh-CN" w:bidi="ar-SA"/>
              </w:rPr>
            </w:pPr>
            <w:r>
              <w:rPr>
                <w:rFonts w:hint="eastAsia" w:ascii="宋体" w:hAnsi="宋体"/>
                <w:color w:val="auto"/>
                <w:sz w:val="24"/>
              </w:rPr>
              <w:t>6</w:t>
            </w:r>
            <w:r>
              <w:rPr>
                <w:rFonts w:hint="eastAsia" w:ascii="宋体" w:hAnsi="宋体"/>
                <w:color w:val="auto"/>
                <w:sz w:val="24"/>
                <w:lang w:val="en-US" w:eastAsia="zh-CN"/>
              </w:rPr>
              <w:t>07</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4"/>
                <w:szCs w:val="24"/>
                <w:lang w:val="en-US" w:eastAsia="zh-CN" w:bidi="ar-SA"/>
              </w:rPr>
            </w:pPr>
            <w:r>
              <w:rPr>
                <w:rFonts w:hint="eastAsia"/>
                <w:color w:val="auto"/>
                <w:sz w:val="24"/>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365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八</w:t>
            </w:r>
            <w:r>
              <w:rPr>
                <w:rFonts w:hint="eastAsia" w:ascii="宋体" w:hAnsi="宋体"/>
                <w:color w:val="auto"/>
                <w:sz w:val="24"/>
              </w:rPr>
              <w:t>、党组织</w:t>
            </w:r>
            <w:r>
              <w:rPr>
                <w:rFonts w:hint="eastAsia" w:ascii="宋体" w:hAnsi="宋体"/>
                <w:color w:val="auto"/>
                <w:sz w:val="24"/>
                <w:lang w:val="en-US" w:eastAsia="zh-CN"/>
              </w:rPr>
              <w:t>或党员</w:t>
            </w:r>
            <w:r>
              <w:rPr>
                <w:rFonts w:hint="eastAsia" w:ascii="宋体" w:hAnsi="宋体"/>
                <w:color w:val="auto"/>
                <w:sz w:val="24"/>
              </w:rPr>
              <w:t>获得省级（省会城市）政府以上部门表彰</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4"/>
                <w:szCs w:val="24"/>
                <w:lang w:val="en-US" w:eastAsia="zh-CN" w:bidi="ar-SA"/>
              </w:rPr>
            </w:pPr>
            <w:r>
              <w:rPr>
                <w:rFonts w:hint="eastAsia" w:ascii="宋体" w:hAnsi="宋体"/>
                <w:color w:val="auto"/>
                <w:sz w:val="24"/>
              </w:rPr>
              <w:t>6</w:t>
            </w:r>
            <w:r>
              <w:rPr>
                <w:rFonts w:hint="eastAsia" w:ascii="宋体" w:hAnsi="宋体"/>
                <w:color w:val="auto"/>
                <w:sz w:val="24"/>
                <w:lang w:val="en-US" w:eastAsia="zh-CN"/>
              </w:rPr>
              <w:t>08</w:t>
            </w: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4"/>
                <w:szCs w:val="24"/>
                <w:lang w:val="en-US" w:eastAsia="zh-CN" w:bidi="ar-SA"/>
              </w:rPr>
            </w:pPr>
            <w:r>
              <w:rPr>
                <w:rFonts w:hint="eastAsia"/>
                <w:color w:val="auto"/>
                <w:sz w:val="24"/>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04" w:type="dxa"/>
            <w:gridSpan w:val="15"/>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b/>
                <w:bCs/>
                <w:color w:val="auto"/>
                <w:sz w:val="24"/>
              </w:rPr>
              <w:t>续表7  企业简介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5"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标题</w:t>
            </w:r>
          </w:p>
        </w:tc>
        <w:tc>
          <w:tcPr>
            <w:tcW w:w="7608"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81"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color w:val="auto"/>
                <w:sz w:val="24"/>
              </w:rPr>
            </w:pPr>
            <w:r>
              <w:rPr>
                <w:rFonts w:hint="eastAsia" w:ascii="宋体" w:hAnsi="宋体"/>
                <w:color w:val="auto"/>
                <w:sz w:val="24"/>
              </w:rPr>
              <w:t>企业</w:t>
            </w:r>
          </w:p>
          <w:p>
            <w:pPr>
              <w:spacing w:line="240" w:lineRule="auto"/>
              <w:jc w:val="center"/>
              <w:rPr>
                <w:rFonts w:ascii="宋体" w:hAnsi="宋体"/>
                <w:color w:val="auto"/>
                <w:sz w:val="24"/>
              </w:rPr>
            </w:pPr>
            <w:r>
              <w:rPr>
                <w:rFonts w:hint="eastAsia" w:ascii="宋体" w:hAnsi="宋体"/>
                <w:color w:val="auto"/>
                <w:sz w:val="24"/>
              </w:rPr>
              <w:t>情况</w:t>
            </w:r>
          </w:p>
          <w:p>
            <w:pPr>
              <w:spacing w:line="240" w:lineRule="auto"/>
              <w:jc w:val="center"/>
              <w:rPr>
                <w:rFonts w:ascii="宋体" w:hAnsi="宋体"/>
                <w:color w:val="auto"/>
                <w:sz w:val="24"/>
              </w:rPr>
            </w:pPr>
            <w:r>
              <w:rPr>
                <w:rFonts w:hint="eastAsia" w:ascii="宋体" w:hAnsi="宋体"/>
                <w:color w:val="auto"/>
                <w:sz w:val="24"/>
              </w:rPr>
              <w:t>介绍</w:t>
            </w:r>
          </w:p>
        </w:tc>
        <w:tc>
          <w:tcPr>
            <w:tcW w:w="7608" w:type="dxa"/>
            <w:gridSpan w:val="1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宋体" w:hAnsi="宋体"/>
                <w:color w:val="auto"/>
                <w:sz w:val="24"/>
              </w:rPr>
            </w:pPr>
            <w:r>
              <w:rPr>
                <w:rFonts w:hint="eastAsia" w:ascii="宋体" w:hAnsi="宋体"/>
                <w:color w:val="auto"/>
                <w:sz w:val="24"/>
              </w:rPr>
              <w:t>包括基本情况简介，企业经营管理理念、服务特色和商业模式，企业发展目标和发展战略等，可另附表。</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color w:val="auto"/>
                <w:sz w:val="24"/>
              </w:rPr>
            </w:pPr>
            <w:r>
              <w:rPr>
                <w:rFonts w:hint="eastAsia" w:ascii="宋体" w:hAnsi="宋体"/>
                <w:color w:val="auto"/>
                <w:sz w:val="24"/>
              </w:rPr>
              <w:t>企业</w:t>
            </w:r>
          </w:p>
          <w:p>
            <w:pPr>
              <w:spacing w:line="240" w:lineRule="auto"/>
              <w:jc w:val="center"/>
              <w:rPr>
                <w:rFonts w:ascii="宋体" w:hAnsi="宋体"/>
                <w:color w:val="auto"/>
                <w:sz w:val="24"/>
              </w:rPr>
            </w:pPr>
            <w:r>
              <w:rPr>
                <w:rFonts w:hint="eastAsia" w:ascii="宋体" w:hAnsi="宋体"/>
                <w:color w:val="auto"/>
                <w:sz w:val="24"/>
              </w:rPr>
              <w:t>党建</w:t>
            </w:r>
          </w:p>
          <w:p>
            <w:pPr>
              <w:spacing w:line="240" w:lineRule="auto"/>
              <w:jc w:val="center"/>
              <w:rPr>
                <w:rFonts w:ascii="宋体" w:hAnsi="宋体"/>
                <w:color w:val="auto"/>
                <w:sz w:val="24"/>
              </w:rPr>
            </w:pPr>
            <w:r>
              <w:rPr>
                <w:rFonts w:hint="eastAsia" w:ascii="宋体" w:hAnsi="宋体"/>
                <w:color w:val="auto"/>
                <w:sz w:val="24"/>
              </w:rPr>
              <w:t>工作</w:t>
            </w:r>
          </w:p>
          <w:p>
            <w:pPr>
              <w:spacing w:line="240" w:lineRule="auto"/>
              <w:jc w:val="center"/>
              <w:rPr>
                <w:rFonts w:ascii="宋体" w:hAnsi="宋体"/>
                <w:color w:val="auto"/>
                <w:sz w:val="24"/>
              </w:rPr>
            </w:pPr>
            <w:r>
              <w:rPr>
                <w:rFonts w:hint="eastAsia" w:ascii="宋体" w:hAnsi="宋体"/>
                <w:color w:val="auto"/>
                <w:sz w:val="24"/>
              </w:rPr>
              <w:t>情况</w:t>
            </w:r>
          </w:p>
        </w:tc>
        <w:tc>
          <w:tcPr>
            <w:tcW w:w="7608" w:type="dxa"/>
            <w:gridSpan w:val="13"/>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4552"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olor w:val="auto"/>
                <w:sz w:val="24"/>
              </w:rPr>
            </w:pPr>
            <w:r>
              <w:rPr>
                <w:rFonts w:hint="eastAsia" w:ascii="宋体" w:hAnsi="宋体"/>
                <w:color w:val="auto"/>
                <w:sz w:val="24"/>
                <w:lang w:val="en-US" w:eastAsia="zh-CN"/>
              </w:rPr>
              <w:t>物业服务企业申报</w:t>
            </w:r>
            <w:r>
              <w:rPr>
                <w:rFonts w:hint="eastAsia" w:ascii="宋体" w:hAnsi="宋体"/>
                <w:color w:val="auto"/>
                <w:sz w:val="24"/>
              </w:rPr>
              <w:t>意见：</w:t>
            </w: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jc w:val="center"/>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公</w:t>
            </w:r>
            <w:r>
              <w:rPr>
                <w:rFonts w:hint="eastAsia" w:ascii="宋体" w:hAnsi="宋体"/>
                <w:color w:val="auto"/>
                <w:sz w:val="24"/>
              </w:rPr>
              <w:t xml:space="preserve">  章：</w:t>
            </w:r>
          </w:p>
          <w:p>
            <w:pPr>
              <w:rPr>
                <w:rFonts w:ascii="宋体" w:hAnsi="宋体"/>
                <w:color w:val="auto"/>
                <w:sz w:val="24"/>
              </w:rPr>
            </w:pPr>
          </w:p>
          <w:p>
            <w:pPr>
              <w:jc w:val="right"/>
              <w:rPr>
                <w:rFonts w:ascii="宋体" w:hAnsi="宋体"/>
                <w:color w:val="auto"/>
                <w:sz w:val="24"/>
              </w:rPr>
            </w:pPr>
            <w:r>
              <w:rPr>
                <w:rFonts w:hint="eastAsia" w:ascii="宋体" w:hAnsi="宋体"/>
                <w:color w:val="auto"/>
                <w:sz w:val="24"/>
              </w:rPr>
              <w:t>年    月    日</w:t>
            </w:r>
          </w:p>
        </w:tc>
        <w:tc>
          <w:tcPr>
            <w:tcW w:w="4552"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olor w:val="auto"/>
                <w:sz w:val="24"/>
              </w:rPr>
            </w:pPr>
            <w:r>
              <w:rPr>
                <w:rFonts w:hint="eastAsia" w:ascii="宋体" w:hAnsi="宋体"/>
                <w:color w:val="auto"/>
                <w:sz w:val="24"/>
              </w:rPr>
              <w:t>所在地方物业管理协会意见：</w:t>
            </w: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spacing w:line="240" w:lineRule="auto"/>
              <w:jc w:val="center"/>
              <w:rPr>
                <w:rFonts w:ascii="宋体" w:hAnsi="宋体"/>
                <w:color w:val="auto"/>
                <w:sz w:val="24"/>
              </w:rPr>
            </w:pPr>
          </w:p>
          <w:p>
            <w:pPr>
              <w:jc w:val="center"/>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公</w:t>
            </w:r>
            <w:r>
              <w:rPr>
                <w:rFonts w:hint="eastAsia" w:ascii="宋体" w:hAnsi="宋体"/>
                <w:color w:val="auto"/>
                <w:sz w:val="24"/>
              </w:rPr>
              <w:t xml:space="preserve">  章：</w:t>
            </w:r>
          </w:p>
          <w:p>
            <w:pPr>
              <w:jc w:val="center"/>
              <w:rPr>
                <w:rFonts w:ascii="宋体" w:hAnsi="宋体"/>
                <w:color w:val="auto"/>
                <w:sz w:val="24"/>
              </w:rPr>
            </w:pPr>
          </w:p>
          <w:p>
            <w:pPr>
              <w:jc w:val="right"/>
              <w:rPr>
                <w:rFonts w:ascii="宋体" w:hAnsi="宋体"/>
                <w:color w:val="auto"/>
                <w:sz w:val="24"/>
              </w:rPr>
            </w:pPr>
            <w:r>
              <w:rPr>
                <w:rFonts w:hint="eastAsia" w:ascii="宋体" w:hAnsi="宋体"/>
                <w:color w:val="auto"/>
                <w:sz w:val="24"/>
              </w:rPr>
              <w:t xml:space="preserve">               年    月    日</w:t>
            </w:r>
          </w:p>
        </w:tc>
      </w:tr>
    </w:tbl>
    <w:p>
      <w:pPr>
        <w:spacing w:line="240" w:lineRule="auto"/>
        <w:rPr>
          <w:rFonts w:hint="eastAsia" w:ascii="仿宋" w:hAnsi="仿宋" w:eastAsia="仿宋" w:cs="仿宋"/>
          <w:color w:val="auto"/>
          <w:sz w:val="30"/>
          <w:szCs w:val="30"/>
        </w:rPr>
      </w:pPr>
      <w:r>
        <w:rPr>
          <w:rFonts w:hint="eastAsia" w:ascii="仿宋" w:hAnsi="仿宋" w:eastAsia="仿宋" w:cs="仿宋"/>
          <w:b/>
          <w:bCs/>
          <w:color w:val="auto"/>
          <w:sz w:val="30"/>
          <w:szCs w:val="30"/>
        </w:rPr>
        <w:t>填表说明</w:t>
      </w:r>
      <w:r>
        <w:rPr>
          <w:rFonts w:hint="eastAsia" w:ascii="仿宋" w:hAnsi="仿宋" w:eastAsia="仿宋" w:cs="仿宋"/>
          <w:color w:val="auto"/>
          <w:sz w:val="30"/>
          <w:szCs w:val="30"/>
        </w:rPr>
        <w:t>：</w:t>
      </w:r>
    </w:p>
    <w:p>
      <w:pPr>
        <w:spacing w:line="240" w:lineRule="auto"/>
        <w:ind w:firstLine="420" w:firstLineChars="200"/>
        <w:rPr>
          <w:rFonts w:hint="eastAsia" w:ascii="宋体" w:hAnsi="宋体"/>
          <w:color w:val="auto"/>
          <w:szCs w:val="21"/>
        </w:rPr>
      </w:pPr>
      <w:r>
        <w:rPr>
          <w:rFonts w:hint="eastAsia" w:ascii="宋体" w:hAnsi="宋体"/>
          <w:color w:val="auto"/>
          <w:szCs w:val="21"/>
        </w:rPr>
        <w:t>1.企业名称:填写物业服务企业(单位)在工商行政管理部门登记的名称,要填全称,不得使用简称,即与企业(单位)公章所使用的名称一致。</w:t>
      </w:r>
    </w:p>
    <w:p>
      <w:pPr>
        <w:spacing w:line="240" w:lineRule="auto"/>
        <w:ind w:firstLine="420" w:firstLineChars="200"/>
        <w:rPr>
          <w:rFonts w:hint="eastAsia" w:ascii="宋体" w:hAnsi="宋体"/>
          <w:color w:val="auto"/>
          <w:szCs w:val="21"/>
        </w:rPr>
      </w:pPr>
      <w:r>
        <w:rPr>
          <w:rFonts w:hint="eastAsia" w:ascii="宋体" w:hAnsi="宋体"/>
          <w:color w:val="auto"/>
          <w:szCs w:val="21"/>
        </w:rPr>
        <w:t>2.联系地址:填写由邮政部门认可的单位所在地地址。不要填写邮政信箱号。</w:t>
      </w:r>
    </w:p>
    <w:p>
      <w:pPr>
        <w:spacing w:line="240" w:lineRule="auto"/>
        <w:ind w:firstLine="420" w:firstLineChars="200"/>
        <w:rPr>
          <w:rFonts w:hint="eastAsia" w:ascii="宋体" w:hAnsi="宋体"/>
          <w:color w:val="auto"/>
          <w:szCs w:val="21"/>
        </w:rPr>
      </w:pPr>
      <w:r>
        <w:rPr>
          <w:rFonts w:hint="eastAsia" w:ascii="宋体" w:hAnsi="宋体"/>
          <w:color w:val="auto"/>
          <w:szCs w:val="21"/>
        </w:rPr>
        <w:t>3.统一社会信用代码：国家统一社会信用代码，未转换企业请填写法人（单位）代码。</w:t>
      </w:r>
    </w:p>
    <w:p>
      <w:pPr>
        <w:spacing w:line="240" w:lineRule="auto"/>
        <w:ind w:firstLine="420" w:firstLineChars="200"/>
        <w:rPr>
          <w:rFonts w:hint="eastAsia" w:ascii="宋体" w:hAnsi="宋体"/>
          <w:color w:val="auto"/>
          <w:szCs w:val="21"/>
        </w:rPr>
      </w:pPr>
      <w:r>
        <w:rPr>
          <w:rFonts w:hint="eastAsia" w:ascii="宋体" w:hAnsi="宋体"/>
          <w:color w:val="auto"/>
          <w:szCs w:val="21"/>
        </w:rPr>
        <w:t>4.企业登记注册类型：国有企业、民营企业 、合资企业、外资企业、其他企业。</w:t>
      </w:r>
    </w:p>
    <w:p>
      <w:pPr>
        <w:spacing w:line="240" w:lineRule="auto"/>
        <w:ind w:firstLine="420" w:firstLineChars="200"/>
        <w:rPr>
          <w:rFonts w:hint="eastAsia" w:ascii="宋体" w:hAnsi="宋体"/>
          <w:color w:val="auto"/>
          <w:szCs w:val="21"/>
        </w:rPr>
      </w:pPr>
      <w:r>
        <w:rPr>
          <w:rFonts w:hint="eastAsia" w:ascii="宋体" w:hAnsi="宋体"/>
          <w:color w:val="auto"/>
          <w:szCs w:val="21"/>
        </w:rPr>
        <w:t>5.企业成立时间:指工商行政管理部门登记核准设立的日期。</w:t>
      </w:r>
    </w:p>
    <w:p>
      <w:pPr>
        <w:spacing w:line="240" w:lineRule="auto"/>
        <w:ind w:firstLine="420" w:firstLineChars="200"/>
        <w:rPr>
          <w:rFonts w:hint="eastAsia" w:ascii="宋体" w:hAnsi="宋体"/>
          <w:color w:val="auto"/>
          <w:szCs w:val="21"/>
        </w:rPr>
      </w:pPr>
      <w:r>
        <w:rPr>
          <w:rFonts w:hint="eastAsia" w:ascii="宋体" w:hAnsi="宋体"/>
          <w:color w:val="auto"/>
          <w:szCs w:val="21"/>
        </w:rPr>
        <w:t>6.企业从业人员：指在物业服务企业中工作，取得工资或其它形式的劳动报酬的全部人员。包括：在岗职工、再就业的离退休人员、在企业中工作的外方人员和港澳台方人员、兼职人员、借用的外单位人员和第二职业者。不包括离开本单位仍保留劳动关系的职工以及外包服务人员。</w:t>
      </w:r>
    </w:p>
    <w:p>
      <w:pPr>
        <w:spacing w:line="240" w:lineRule="auto"/>
        <w:ind w:firstLine="420" w:firstLineChars="200"/>
        <w:rPr>
          <w:rFonts w:hint="eastAsia" w:ascii="宋体" w:hAnsi="宋体"/>
          <w:color w:val="auto"/>
          <w:szCs w:val="21"/>
        </w:rPr>
      </w:pPr>
      <w:r>
        <w:rPr>
          <w:rFonts w:hint="eastAsia" w:ascii="宋体" w:hAnsi="宋体"/>
          <w:color w:val="auto"/>
          <w:szCs w:val="21"/>
        </w:rPr>
        <w:t>7.年人均工资=报告期实际支付的全部职工工资总额/报告期全部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p>
      <w:pPr>
        <w:spacing w:line="240" w:lineRule="auto"/>
        <w:ind w:firstLine="420" w:firstLineChars="200"/>
        <w:rPr>
          <w:rFonts w:hint="eastAsia" w:ascii="宋体" w:hAnsi="宋体"/>
          <w:color w:val="auto"/>
          <w:szCs w:val="21"/>
        </w:rPr>
      </w:pPr>
      <w:r>
        <w:rPr>
          <w:rFonts w:hint="eastAsia" w:ascii="宋体" w:hAnsi="宋体"/>
          <w:color w:val="auto"/>
          <w:szCs w:val="21"/>
        </w:rPr>
        <w:t>8.企业从业人员流失率（126）：指的是本年度内离职员工占企业员工总数的比例。企业从业人员流失率=员工流失人数/[（期初员工人数+期末员工人数）/2]*100%。</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9</w:t>
      </w:r>
      <w:r>
        <w:rPr>
          <w:rFonts w:hint="eastAsia" w:ascii="宋体" w:hAnsi="宋体"/>
          <w:color w:val="auto"/>
          <w:szCs w:val="21"/>
        </w:rPr>
        <w:t>.管理项目总数（201）：指的是截止到2020年12月31日，企业根据相关物业管理服务合同已开始提供物业管理服务的物业的在管合约建筑面积。按项目来源分为，承接所属和合作开发商项目（203）和外拓的第三方项目（204）。从业态分类上包括：住宅物业（206）、办公物业（210）、产业园区（213）、商业物业（214）、学校物业（215）、医院物业（216）、公众物业（217）和其他类型物业（222）。</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0</w:t>
      </w:r>
      <w:r>
        <w:rPr>
          <w:rFonts w:hint="eastAsia" w:ascii="宋体" w:hAnsi="宋体"/>
          <w:color w:val="auto"/>
          <w:szCs w:val="21"/>
        </w:rPr>
        <w:t>.住宅物业（206）：指用于居住的房屋建筑，包括多层住宅、高层住宅、独立式住宅等。多层住宅（207）指6层以下（含6层）的住宅楼宇。高层住宅（208）指7层以上（含7层）的住宅楼宇。独立式住宅（209）：指单栋独户的别墅项目，联排别墅按多层住宅计算。</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1</w:t>
      </w:r>
      <w:r>
        <w:rPr>
          <w:rFonts w:hint="eastAsia" w:ascii="宋体" w:hAnsi="宋体"/>
          <w:color w:val="auto"/>
          <w:szCs w:val="21"/>
        </w:rPr>
        <w:t>.办公物业（210）：指机关、团体、企业、事业等单位使用的各类办公用房。其中，包括写字楼物业（211）和政府机关办公物业（212）。其中，写字楼物业是指供企业单位职员从事商业经营活动及办公的场所。政府机关办公物业是指政府机关或职能部门等使用的办公用房。</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2</w:t>
      </w:r>
      <w:r>
        <w:rPr>
          <w:rFonts w:hint="eastAsia" w:ascii="宋体" w:hAnsi="宋体"/>
          <w:color w:val="auto"/>
          <w:szCs w:val="21"/>
        </w:rPr>
        <w:t>.产业园区物业（213）：指用于促进某一产业发展为目标而创立的特殊区位环境，在一定区域内聚集若干企业。如物流园区、科技园区、文化创意园区、总部基地、生态农业园区等。</w:t>
      </w:r>
    </w:p>
    <w:p>
      <w:pPr>
        <w:spacing w:line="24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3</w:t>
      </w:r>
      <w:r>
        <w:rPr>
          <w:rFonts w:hint="eastAsia" w:ascii="宋体" w:hAnsi="宋体"/>
          <w:color w:val="auto"/>
          <w:szCs w:val="21"/>
        </w:rPr>
        <w:t>.商业物业（214）：包括商场、购物中心、购物广场及各种专业性商店等用于从事各种经营服务活动的物业场所，其具有经营性、公众性和服务型的特点。</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4</w:t>
      </w:r>
      <w:r>
        <w:rPr>
          <w:rFonts w:hint="eastAsia" w:ascii="宋体" w:hAnsi="宋体"/>
          <w:color w:val="auto"/>
          <w:szCs w:val="21"/>
        </w:rPr>
        <w:t>.学校物业（215）：指以教育教学、科研为主要职能的学校等事业单位。</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5</w:t>
      </w:r>
      <w:r>
        <w:rPr>
          <w:rFonts w:hint="eastAsia" w:ascii="宋体" w:hAnsi="宋体"/>
          <w:color w:val="auto"/>
          <w:szCs w:val="21"/>
        </w:rPr>
        <w:t>.医院物业（216）：指以医疗服务、收容和治疗病人、科研、教学为主的医疗机构等事业单位。</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6</w:t>
      </w:r>
      <w:r>
        <w:rPr>
          <w:rFonts w:hint="eastAsia" w:ascii="宋体" w:hAnsi="宋体"/>
          <w:color w:val="auto"/>
          <w:szCs w:val="21"/>
        </w:rPr>
        <w:t>.公众物业（217）：指对已建成并交付使用的公众开放的建筑物及附属设施，包括各类场馆物业（如，公共文化场馆、公共体育场馆、公共交通场馆、大型会展场馆等）、交通枢纽类物业、航空机场类物业和其他类型等具有公众性的物业。</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7</w:t>
      </w:r>
      <w:r>
        <w:rPr>
          <w:rFonts w:hint="eastAsia" w:ascii="宋体" w:hAnsi="宋体"/>
          <w:color w:val="auto"/>
          <w:szCs w:val="21"/>
        </w:rPr>
        <w:t>.其他类型物业（222）：指凡不属于上述用途的房屋建筑。</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8</w:t>
      </w:r>
      <w:r>
        <w:rPr>
          <w:rFonts w:hint="eastAsia" w:ascii="宋体" w:hAnsi="宋体"/>
          <w:color w:val="auto"/>
          <w:szCs w:val="21"/>
        </w:rPr>
        <w:t>.合同储备项目（223）：是指企业依据有效的物业管理合同而将给予管理的尚未交付的合同管理项目。</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1</w:t>
      </w:r>
      <w:r>
        <w:rPr>
          <w:rFonts w:hint="eastAsia" w:ascii="宋体" w:hAnsi="宋体"/>
          <w:color w:val="auto"/>
          <w:szCs w:val="21"/>
          <w:lang w:val="en-US" w:eastAsia="zh-CN"/>
        </w:rPr>
        <w:t>9</w:t>
      </w:r>
      <w:r>
        <w:rPr>
          <w:rFonts w:hint="eastAsia" w:ascii="宋体" w:hAnsi="宋体"/>
          <w:color w:val="auto"/>
          <w:szCs w:val="21"/>
        </w:rPr>
        <w:t>.物业顾问项目（224）：指在物业管理过程中提供咨询服务，从事关于不动产的咨询、估计、经营及管理的项目数量。</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0</w:t>
      </w:r>
      <w:r>
        <w:rPr>
          <w:rFonts w:hint="eastAsia" w:ascii="宋体" w:hAnsi="宋体"/>
          <w:color w:val="auto"/>
          <w:szCs w:val="21"/>
        </w:rPr>
        <w:t>.保障性住房（225）：指政府为中低收入住房困难家庭所提供的限定标准、限定价格或租金的住房，一般由廉租住房、经济适用住房和政策性租赁住房构成。</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1</w:t>
      </w:r>
      <w:r>
        <w:rPr>
          <w:rFonts w:hint="eastAsia" w:ascii="宋体" w:hAnsi="宋体"/>
          <w:color w:val="auto"/>
          <w:szCs w:val="21"/>
        </w:rPr>
        <w:t>.设备维修养护、秩序维护、保洁、绿化业务外包项目（302、303、304、305）：指企业在管项目中，各类业务实行分包给专业公司情况。</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rPr>
        <w:t>.社区增值服务收入（420）：指企业在提供基础物业管理服务的同时，为在管小区业主提供相应服务所取得的收入情况。包括社区电商服务收入、社区房屋经纪收入、社区家政服务收入、社区养老服务收入、社区空间运营收入、社区美居装修收入、社区停车服务收入、社区金融收入、社区旅游收入、社区教育收入和社区其他服务收入（421-431）：</w:t>
      </w:r>
    </w:p>
    <w:p>
      <w:pPr>
        <w:spacing w:line="24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3</w:t>
      </w:r>
      <w:r>
        <w:rPr>
          <w:rFonts w:hint="eastAsia" w:ascii="宋体" w:hAnsi="宋体"/>
          <w:color w:val="auto"/>
          <w:szCs w:val="21"/>
        </w:rPr>
        <w:t>.非业主增值服务收入（432）：指利用掌握的物业管理技术优势和运营经验，对开发商或其他物业服务企业提供案场服务、工程服务以及顾问咨询服务等所取得的收入。主要包括，案场服务收入、工程服务收入，顾问咨询服务收入和其他非业主增值服务收入（433-437）</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4</w:t>
      </w:r>
      <w:r>
        <w:rPr>
          <w:rFonts w:hint="eastAsia" w:ascii="宋体" w:hAnsi="宋体"/>
          <w:color w:val="auto"/>
          <w:szCs w:val="21"/>
        </w:rPr>
        <w:t>.营业成本（438）：是指在物业服务企业在运营过程中所产生的成本。按业务线可以划分为物业管理服务成本（440）和多种经营服务成本（441），其中多种经营服务成本可以分为社区增值服务成本（442）、非业主增值服务成本（443）和其他业务成本（444）。</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5</w:t>
      </w:r>
      <w:r>
        <w:rPr>
          <w:rFonts w:hint="eastAsia" w:ascii="宋体" w:hAnsi="宋体"/>
          <w:color w:val="auto"/>
          <w:szCs w:val="21"/>
        </w:rPr>
        <w:t>.企业智能化投入（454）：指的是为提高企业内部管理和运营及开展智慧社区建设等而实施的智能化投入，包括用于升级企业内部管理及运营的各类智能设施及系统、购买及升级智能设备及物联网设施的硬件、升级企业移动应用程序等智慧化业主服务平台、购买和升级信息技术软件、更新企业智能化管理及数字化等的投入。包括企业自身智能化投入（455）和在管物业智能化投入（456）。</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6</w:t>
      </w:r>
      <w:r>
        <w:rPr>
          <w:rFonts w:hint="eastAsia" w:ascii="宋体" w:hAnsi="宋体"/>
          <w:color w:val="auto"/>
          <w:szCs w:val="21"/>
        </w:rPr>
        <w:t>.多种经营净利润（460）：指企业为小区业主提供服务的社区增值服务、为开发商或其他物业服务企业提供服务的非业主增值服务和其他多种经营服务提供服务所取得的净利润。</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7</w:t>
      </w:r>
      <w:r>
        <w:rPr>
          <w:rFonts w:hint="eastAsia" w:ascii="宋体" w:hAnsi="宋体"/>
          <w:color w:val="auto"/>
          <w:szCs w:val="21"/>
        </w:rPr>
        <w:t>.业主满意度：指专业第三方机构通过业主对物业服务企业总体服务、客户服务、秩序维护服务、保洁服务、维修服务、绿化养护服务、便民服务、企业品牌、社区文化活动和其他服务等内容评价分值的加权计算，得到业主满意程度的一个数值。</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8</w:t>
      </w:r>
      <w:r>
        <w:rPr>
          <w:rFonts w:hint="eastAsia" w:ascii="宋体" w:hAnsi="宋体"/>
          <w:color w:val="auto"/>
          <w:szCs w:val="21"/>
        </w:rPr>
        <w:t>.企业经营情况栏的有关指标，依据《物业服务企业财务管理规定》（财政部财基字[1998]7号）的规定和要求填报。</w:t>
      </w:r>
    </w:p>
    <w:p>
      <w:pPr>
        <w:spacing w:line="240" w:lineRule="auto"/>
        <w:ind w:firstLine="420" w:firstLineChars="200"/>
        <w:rPr>
          <w:rFonts w:hint="eastAsia"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9</w:t>
      </w:r>
      <w:r>
        <w:rPr>
          <w:rFonts w:hint="eastAsia" w:ascii="宋体" w:hAnsi="宋体"/>
          <w:color w:val="auto"/>
          <w:szCs w:val="21"/>
        </w:rPr>
        <w:t>.逻辑关系：101=103+107=113+114+115+116+117+118，103=104+105+106,</w:t>
      </w:r>
    </w:p>
    <w:p>
      <w:pPr>
        <w:spacing w:line="240" w:lineRule="auto"/>
        <w:ind w:firstLine="420" w:firstLineChars="200"/>
        <w:rPr>
          <w:rFonts w:hint="eastAsia" w:ascii="宋体" w:hAnsi="宋体"/>
          <w:color w:val="auto"/>
          <w:szCs w:val="21"/>
        </w:rPr>
      </w:pPr>
      <w:r>
        <w:rPr>
          <w:rFonts w:hint="eastAsia" w:ascii="宋体" w:hAnsi="宋体"/>
          <w:color w:val="auto"/>
          <w:szCs w:val="21"/>
        </w:rPr>
        <w:t>107=108+109+110+111+112，119=120+121+122+123+124+125，</w:t>
      </w:r>
    </w:p>
    <w:p>
      <w:pPr>
        <w:spacing w:line="240" w:lineRule="auto"/>
        <w:ind w:firstLine="420" w:firstLineChars="200"/>
        <w:rPr>
          <w:rFonts w:hint="eastAsia" w:ascii="宋体" w:hAnsi="宋体"/>
          <w:color w:val="auto"/>
          <w:szCs w:val="21"/>
        </w:rPr>
      </w:pPr>
      <w:r>
        <w:rPr>
          <w:rFonts w:hint="eastAsia" w:ascii="宋体" w:hAnsi="宋体"/>
          <w:color w:val="auto"/>
          <w:szCs w:val="21"/>
        </w:rPr>
        <w:t>201=203+204=206+210+213+214+215+216+217+222，206=207+208+209，</w:t>
      </w:r>
    </w:p>
    <w:p>
      <w:pPr>
        <w:spacing w:line="240" w:lineRule="auto"/>
        <w:ind w:firstLine="420" w:firstLineChars="200"/>
        <w:rPr>
          <w:rFonts w:hint="eastAsia" w:ascii="宋体" w:hAnsi="宋体"/>
          <w:color w:val="auto"/>
          <w:szCs w:val="21"/>
        </w:rPr>
      </w:pPr>
      <w:r>
        <w:rPr>
          <w:rFonts w:hint="eastAsia" w:ascii="宋体" w:hAnsi="宋体"/>
          <w:color w:val="auto"/>
          <w:szCs w:val="21"/>
        </w:rPr>
        <w:t>210=211+212，217=218+219+220+221，301=301+303+304+305，403=404+419，</w:t>
      </w:r>
    </w:p>
    <w:p>
      <w:pPr>
        <w:spacing w:line="240" w:lineRule="auto"/>
        <w:ind w:firstLine="420" w:firstLineChars="200"/>
        <w:rPr>
          <w:rFonts w:hint="eastAsia" w:ascii="宋体" w:hAnsi="宋体"/>
          <w:color w:val="auto"/>
          <w:szCs w:val="21"/>
        </w:rPr>
      </w:pPr>
      <w:r>
        <w:rPr>
          <w:rFonts w:hint="eastAsia" w:ascii="宋体" w:hAnsi="宋体"/>
          <w:color w:val="auto"/>
          <w:szCs w:val="21"/>
        </w:rPr>
        <w:t xml:space="preserve">404=405+406+409+410+411+412+413+418，406=407+408,413=414+415+416+417， </w:t>
      </w:r>
    </w:p>
    <w:p>
      <w:pPr>
        <w:spacing w:line="240" w:lineRule="auto"/>
        <w:ind w:firstLine="420" w:firstLineChars="200"/>
        <w:rPr>
          <w:rFonts w:hint="eastAsia" w:ascii="宋体" w:hAnsi="宋体"/>
          <w:color w:val="auto"/>
          <w:szCs w:val="21"/>
        </w:rPr>
      </w:pPr>
      <w:r>
        <w:rPr>
          <w:rFonts w:hint="eastAsia" w:ascii="宋体" w:hAnsi="宋体"/>
          <w:color w:val="auto"/>
          <w:szCs w:val="21"/>
        </w:rPr>
        <w:t>419=420+432+437,420=421+422+423+424+425+426+427+428+429+430+431，</w:t>
      </w:r>
    </w:p>
    <w:p>
      <w:pPr>
        <w:widowControl/>
        <w:spacing w:line="240" w:lineRule="auto"/>
        <w:ind w:left="420" w:leftChars="200" w:firstLine="0" w:firstLineChars="0"/>
        <w:jc w:val="left"/>
        <w:rPr>
          <w:rFonts w:hint="eastAsia" w:ascii="宋体" w:hAnsi="宋体" w:eastAsia="宋体"/>
          <w:b/>
          <w:bCs/>
          <w:color w:val="auto"/>
          <w:sz w:val="21"/>
          <w:szCs w:val="21"/>
          <w:lang w:eastAsia="zh-CN"/>
        </w:rPr>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Cs w:val="21"/>
        </w:rPr>
        <w:t>432=433+434+435+436，438=440+441=446+447+448+449+450+451+452+453,454=455+456。</w:t>
      </w:r>
    </w:p>
    <w:p>
      <w:pPr>
        <w:jc w:val="left"/>
        <w:outlineLvl w:val="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附表1.2</w:t>
      </w:r>
    </w:p>
    <w:tbl>
      <w:tblPr>
        <w:tblStyle w:val="5"/>
        <w:tblW w:w="5949" w:type="pct"/>
        <w:jc w:val="center"/>
        <w:tblLayout w:type="fixed"/>
        <w:tblCellMar>
          <w:top w:w="0" w:type="dxa"/>
          <w:left w:w="108" w:type="dxa"/>
          <w:bottom w:w="0" w:type="dxa"/>
          <w:right w:w="108" w:type="dxa"/>
        </w:tblCellMar>
      </w:tblPr>
      <w:tblGrid>
        <w:gridCol w:w="487"/>
        <w:gridCol w:w="750"/>
        <w:gridCol w:w="737"/>
        <w:gridCol w:w="791"/>
        <w:gridCol w:w="1101"/>
        <w:gridCol w:w="936"/>
        <w:gridCol w:w="1443"/>
        <w:gridCol w:w="854"/>
        <w:gridCol w:w="900"/>
        <w:gridCol w:w="1065"/>
        <w:gridCol w:w="886"/>
        <w:gridCol w:w="791"/>
        <w:gridCol w:w="1237"/>
        <w:gridCol w:w="818"/>
        <w:gridCol w:w="764"/>
        <w:gridCol w:w="954"/>
        <w:gridCol w:w="814"/>
        <w:gridCol w:w="681"/>
      </w:tblGrid>
      <w:tr>
        <w:tblPrEx>
          <w:tblCellMar>
            <w:top w:w="0" w:type="dxa"/>
            <w:left w:w="108" w:type="dxa"/>
            <w:bottom w:w="0" w:type="dxa"/>
            <w:right w:w="108" w:type="dxa"/>
          </w:tblCellMar>
        </w:tblPrEx>
        <w:trPr>
          <w:trHeight w:val="597" w:hRule="atLeast"/>
          <w:jc w:val="center"/>
        </w:trPr>
        <w:tc>
          <w:tcPr>
            <w:tcW w:w="4533" w:type="pct"/>
            <w:gridSpan w:val="16"/>
            <w:tcBorders>
              <w:top w:val="nil"/>
              <w:left w:val="nil"/>
              <w:bottom w:val="nil"/>
              <w:right w:val="nil"/>
            </w:tcBorders>
            <w:noWrap/>
            <w:vAlign w:val="center"/>
          </w:tcPr>
          <w:p>
            <w:pPr>
              <w:keepNext w:val="0"/>
              <w:keepLines w:val="0"/>
              <w:widowControl/>
              <w:suppressLineNumbers w:val="0"/>
              <w:jc w:val="center"/>
              <w:textAlignment w:val="center"/>
              <w:rPr>
                <w:rFonts w:hint="eastAsia" w:ascii="华文中宋" w:hAnsi="华文中宋" w:eastAsia="华文中宋" w:cs="华文中宋"/>
                <w:b/>
                <w:bCs/>
                <w:i w:val="0"/>
                <w:iCs w:val="0"/>
                <w:color w:val="auto"/>
                <w:kern w:val="0"/>
                <w:sz w:val="36"/>
                <w:szCs w:val="36"/>
                <w:u w:val="none"/>
                <w:lang w:val="en-US" w:eastAsia="zh-CN" w:bidi="ar"/>
              </w:rPr>
            </w:pPr>
            <w:r>
              <w:rPr>
                <w:rFonts w:hint="eastAsia" w:ascii="华文中宋" w:hAnsi="华文中宋" w:eastAsia="华文中宋" w:cs="华文中宋"/>
                <w:b/>
                <w:bCs/>
                <w:i w:val="0"/>
                <w:iCs w:val="0"/>
                <w:color w:val="auto"/>
                <w:kern w:val="0"/>
                <w:sz w:val="36"/>
                <w:szCs w:val="36"/>
                <w:u w:val="none"/>
                <w:lang w:val="en-US" w:eastAsia="zh-CN" w:bidi="ar"/>
              </w:rPr>
              <w:t xml:space="preserve">       物业管理项目清单</w:t>
            </w:r>
          </w:p>
          <w:p>
            <w:pPr>
              <w:keepNext w:val="0"/>
              <w:keepLines w:val="0"/>
              <w:widowControl/>
              <w:suppressLineNumbers w:val="0"/>
              <w:jc w:val="center"/>
              <w:textAlignment w:val="center"/>
              <w:rPr>
                <w:rFonts w:hint="eastAsia" w:ascii="华文中宋" w:hAnsi="华文中宋" w:eastAsia="华文中宋" w:cs="华文中宋"/>
                <w:b/>
                <w:bCs/>
                <w:i w:val="0"/>
                <w:iCs w:val="0"/>
                <w:color w:val="auto"/>
                <w:kern w:val="0"/>
                <w:sz w:val="36"/>
                <w:szCs w:val="36"/>
                <w:u w:val="none"/>
                <w:lang w:val="en-US" w:eastAsia="zh-CN" w:bidi="ar"/>
              </w:rPr>
            </w:pPr>
          </w:p>
        </w:tc>
        <w:tc>
          <w:tcPr>
            <w:tcW w:w="254"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c>
          <w:tcPr>
            <w:tcW w:w="212"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305" w:hRule="atLeast"/>
          <w:jc w:val="center"/>
        </w:trPr>
        <w:tc>
          <w:tcPr>
            <w:tcW w:w="4533" w:type="pct"/>
            <w:gridSpan w:val="16"/>
            <w:tcBorders>
              <w:top w:val="nil"/>
              <w:left w:val="nil"/>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Style w:val="7"/>
                <w:color w:val="auto"/>
                <w:lang w:val="en-US" w:eastAsia="zh-CN" w:bidi="ar"/>
              </w:rPr>
              <w:t>企业名称（盖章）：</w:t>
            </w:r>
            <w:r>
              <w:rPr>
                <w:rStyle w:val="8"/>
                <w:color w:val="auto"/>
                <w:lang w:val="en-US" w:eastAsia="zh-CN" w:bidi="ar"/>
              </w:rPr>
              <w:t>（按项目所在地顺序填写，可另附页）</w:t>
            </w:r>
          </w:p>
        </w:tc>
        <w:tc>
          <w:tcPr>
            <w:tcW w:w="254"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c>
          <w:tcPr>
            <w:tcW w:w="212" w:type="pct"/>
            <w:tcBorders>
              <w:top w:val="nil"/>
              <w:left w:val="nil"/>
              <w:bottom w:val="nil"/>
              <w:right w:val="nil"/>
            </w:tcBorders>
            <w:noWrap/>
            <w:vAlign w:val="center"/>
          </w:tcPr>
          <w:p>
            <w:pP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1533"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项目省份</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项目</w:t>
            </w:r>
          </w:p>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城市</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物业类型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建筑面积（万m2）</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物业费标准（元/m2/月）</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收缴率（%）</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收费方式</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业主委员会情况</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获省级及以上示范项目年份</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合同截止日期</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项目来源</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项目开发企业名称</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项目负责人</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二手房交易均价（元/m2）</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项目竣工交付年份</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年耗电量（万kW·h）</w:t>
            </w:r>
          </w:p>
        </w:tc>
      </w:tr>
      <w:tr>
        <w:tblPrEx>
          <w:tblCellMar>
            <w:top w:w="0" w:type="dxa"/>
            <w:left w:w="108" w:type="dxa"/>
            <w:bottom w:w="0" w:type="dxa"/>
            <w:right w:w="108" w:type="dxa"/>
          </w:tblCellMar>
        </w:tblPrEx>
        <w:trPr>
          <w:trHeight w:val="924"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北京市</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政府机关办公物业</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包干制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已成立</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2019年省级</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X年X月</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承接所属或合作开发商项目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XXX </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XX</w:t>
            </w:r>
          </w:p>
        </w:tc>
      </w:tr>
      <w:tr>
        <w:tblPrEx>
          <w:tblCellMar>
            <w:top w:w="0" w:type="dxa"/>
            <w:left w:w="108" w:type="dxa"/>
            <w:bottom w:w="0" w:type="dxa"/>
            <w:right w:w="108" w:type="dxa"/>
          </w:tblCellMar>
        </w:tblPrEx>
        <w:trPr>
          <w:trHeight w:val="924"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商业物业</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酬金制</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未成立</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X年X月</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外拓第三方项目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XXX </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XX</w:t>
            </w:r>
          </w:p>
        </w:tc>
      </w:tr>
      <w:tr>
        <w:tblPrEx>
          <w:tblCellMar>
            <w:top w:w="0" w:type="dxa"/>
            <w:left w:w="108" w:type="dxa"/>
            <w:bottom w:w="0" w:type="dxa"/>
            <w:right w:w="108" w:type="dxa"/>
          </w:tblCellMar>
        </w:tblPrEx>
        <w:trPr>
          <w:trHeight w:val="924" w:hRule="atLeast"/>
          <w:jc w:val="center"/>
        </w:trPr>
        <w:tc>
          <w:tcPr>
            <w:tcW w:w="1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江苏省</w:t>
            </w:r>
          </w:p>
        </w:tc>
        <w:tc>
          <w:tcPr>
            <w:tcW w:w="2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苏州市</w:t>
            </w:r>
          </w:p>
        </w:tc>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多层住宅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包干制</w:t>
            </w:r>
          </w:p>
        </w:tc>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筹备中</w:t>
            </w:r>
          </w:p>
        </w:tc>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2020年国家级</w:t>
            </w:r>
          </w:p>
        </w:tc>
        <w:tc>
          <w:tcPr>
            <w:tcW w:w="2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X年X月</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承接所属或合作开发商项目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XXX </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t>
            </w:r>
          </w:p>
        </w:tc>
      </w:tr>
      <w:tr>
        <w:tblPrEx>
          <w:tblCellMar>
            <w:top w:w="0" w:type="dxa"/>
            <w:left w:w="108" w:type="dxa"/>
            <w:bottom w:w="0" w:type="dxa"/>
            <w:right w:w="108" w:type="dxa"/>
          </w:tblCellMar>
        </w:tblPrEx>
        <w:trPr>
          <w:trHeight w:val="924" w:hRule="atLeast"/>
          <w:jc w:val="center"/>
        </w:trPr>
        <w:tc>
          <w:tcPr>
            <w:tcW w:w="1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高层住宅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6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承接所属或合作开发商项目</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XXX</w:t>
            </w:r>
          </w:p>
        </w:tc>
        <w:tc>
          <w:tcPr>
            <w:tcW w:w="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t>
            </w:r>
          </w:p>
        </w:tc>
      </w:tr>
      <w:tr>
        <w:trPr>
          <w:trHeight w:val="341"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CellMar>
            <w:top w:w="0" w:type="dxa"/>
            <w:left w:w="108" w:type="dxa"/>
            <w:bottom w:w="0" w:type="dxa"/>
            <w:right w:w="108" w:type="dxa"/>
          </w:tblCellMar>
        </w:tblPrEx>
        <w:trPr>
          <w:trHeight w:val="388" w:hRule="atLeast"/>
          <w:jc w:val="center"/>
        </w:trPr>
        <w:tc>
          <w:tcPr>
            <w:tcW w:w="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2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bl>
    <w:p>
      <w:pPr>
        <w:ind w:firstLine="480"/>
        <w:rPr>
          <w:rFonts w:ascii="宋体" w:hAnsi="宋体"/>
          <w:color w:val="auto"/>
          <w:kern w:val="0"/>
          <w:szCs w:val="21"/>
        </w:rPr>
      </w:pPr>
      <w:r>
        <w:rPr>
          <w:rFonts w:hint="eastAsia" w:ascii="宋体" w:hAnsi="宋体"/>
          <w:color w:val="auto"/>
          <w:kern w:val="0"/>
        </w:rPr>
        <w:t>注：</w:t>
      </w:r>
    </w:p>
    <w:p>
      <w:pPr>
        <w:spacing w:line="240" w:lineRule="auto"/>
        <w:ind w:firstLine="482"/>
        <w:rPr>
          <w:rFonts w:ascii="宋体" w:hAnsi="宋体"/>
          <w:b/>
          <w:bCs/>
          <w:color w:val="auto"/>
        </w:rPr>
      </w:pPr>
      <w:r>
        <w:rPr>
          <w:rFonts w:hint="eastAsia" w:ascii="宋体" w:hAnsi="宋体"/>
          <w:color w:val="auto"/>
          <w:kern w:val="0"/>
        </w:rPr>
        <w:t>1．物业类型按多层住宅、高层住宅、独立式住宅、办公物业、工业园区物业、学校物业、医院物业、商业物业、场馆物业（如博物馆、体育馆、机场等）和其他物业等填写。一个项目涉及多种业态的，请分别列出物业类型、建筑面积和物业费标准。</w:t>
      </w:r>
    </w:p>
    <w:p>
      <w:pPr>
        <w:spacing w:line="240" w:lineRule="auto"/>
        <w:ind w:firstLine="482"/>
        <w:rPr>
          <w:rFonts w:ascii="宋体" w:hAnsi="宋体"/>
          <w:color w:val="auto"/>
          <w:kern w:val="0"/>
        </w:rPr>
      </w:pPr>
      <w:r>
        <w:rPr>
          <w:rFonts w:hint="eastAsia" w:ascii="宋体" w:hAnsi="宋体"/>
          <w:color w:val="auto"/>
          <w:kern w:val="0"/>
        </w:rPr>
        <w:t>2．建筑面积、物业费标准、调整物业费幅度等数值，保留小数点后两位。</w:t>
      </w:r>
    </w:p>
    <w:p>
      <w:pPr>
        <w:spacing w:line="240" w:lineRule="auto"/>
        <w:ind w:firstLine="482"/>
        <w:rPr>
          <w:rFonts w:hint="eastAsia" w:ascii="宋体" w:hAnsi="宋体" w:eastAsia="宋体"/>
          <w:color w:val="auto"/>
          <w:kern w:val="0"/>
          <w:lang w:eastAsia="zh-CN"/>
        </w:rPr>
      </w:pPr>
      <w:r>
        <w:rPr>
          <w:rFonts w:hint="eastAsia" w:ascii="宋体" w:hAnsi="宋体"/>
          <w:color w:val="auto"/>
          <w:kern w:val="0"/>
        </w:rPr>
        <w:t>3．合同截止日期填写具体到年、月。</w:t>
      </w:r>
      <w:r>
        <w:rPr>
          <w:rFonts w:hint="eastAsia" w:ascii="宋体" w:hAnsi="宋体"/>
          <w:color w:val="auto"/>
          <w:kern w:val="0"/>
          <w:lang w:eastAsia="zh-CN"/>
        </w:rPr>
        <w:t>（例如2020年2月）</w:t>
      </w:r>
    </w:p>
    <w:p>
      <w:pPr>
        <w:spacing w:line="240" w:lineRule="auto"/>
        <w:ind w:firstLine="482"/>
        <w:rPr>
          <w:rFonts w:hint="eastAsia" w:ascii="宋体" w:hAnsi="宋体"/>
          <w:color w:val="auto"/>
          <w:kern w:val="0"/>
        </w:rPr>
      </w:pPr>
      <w:r>
        <w:rPr>
          <w:rFonts w:hint="eastAsia" w:ascii="宋体" w:hAnsi="宋体"/>
          <w:color w:val="auto"/>
          <w:kern w:val="0"/>
        </w:rPr>
        <w:t>4. 获省级示范项目年份栏仅填写</w:t>
      </w:r>
      <w:r>
        <w:rPr>
          <w:rFonts w:hint="eastAsia" w:ascii="宋体" w:hAnsi="宋体"/>
          <w:color w:val="auto"/>
          <w:kern w:val="0"/>
          <w:lang w:val="en-US" w:eastAsia="zh-CN"/>
        </w:rPr>
        <w:t>2019</w:t>
      </w:r>
      <w:r>
        <w:rPr>
          <w:rFonts w:hint="eastAsia" w:ascii="宋体" w:hAnsi="宋体"/>
          <w:color w:val="auto"/>
          <w:kern w:val="0"/>
        </w:rPr>
        <w:t>、20</w:t>
      </w:r>
      <w:r>
        <w:rPr>
          <w:rFonts w:hint="eastAsia" w:ascii="宋体" w:hAnsi="宋体"/>
          <w:color w:val="auto"/>
          <w:kern w:val="0"/>
          <w:lang w:val="en-US" w:eastAsia="zh-CN"/>
        </w:rPr>
        <w:t>20</w:t>
      </w:r>
      <w:r>
        <w:rPr>
          <w:rFonts w:hint="eastAsia" w:ascii="宋体" w:hAnsi="宋体"/>
          <w:color w:val="auto"/>
          <w:kern w:val="0"/>
        </w:rPr>
        <w:t>年数据</w:t>
      </w:r>
    </w:p>
    <w:p>
      <w:pPr>
        <w:spacing w:line="240" w:lineRule="auto"/>
        <w:ind w:firstLine="482"/>
        <w:rPr>
          <w:rFonts w:hint="eastAsia" w:ascii="宋体" w:hAnsi="宋体"/>
          <w:color w:val="auto"/>
          <w:kern w:val="0"/>
        </w:rPr>
      </w:pPr>
      <w:r>
        <w:rPr>
          <w:rFonts w:hint="eastAsia" w:ascii="宋体" w:hAnsi="宋体"/>
          <w:color w:val="auto"/>
          <w:kern w:val="0"/>
        </w:rPr>
        <w:t>5.项目来源按承接所属或合作开发商项目、外拓第三方项目进行填写。</w:t>
      </w:r>
    </w:p>
    <w:p>
      <w:pPr>
        <w:spacing w:line="240" w:lineRule="auto"/>
        <w:ind w:firstLine="482"/>
        <w:rPr>
          <w:rFonts w:hint="eastAsia" w:ascii="宋体" w:hAnsi="宋体"/>
          <w:color w:val="auto"/>
          <w:kern w:val="0"/>
        </w:rPr>
      </w:pPr>
      <w:r>
        <w:rPr>
          <w:rFonts w:hint="eastAsia" w:ascii="宋体" w:hAnsi="宋体"/>
          <w:color w:val="auto"/>
          <w:kern w:val="0"/>
        </w:rPr>
        <w:t>6.项目竣工交付日期指的是项目竣工验收合格交付的年份，填写具体到年。例如2015年。</w:t>
      </w:r>
    </w:p>
    <w:p>
      <w:pPr>
        <w:spacing w:line="240" w:lineRule="auto"/>
        <w:ind w:firstLine="482"/>
        <w:rPr>
          <w:rFonts w:hint="default" w:ascii="宋体" w:hAnsi="宋体" w:eastAsia="宋体"/>
          <w:color w:val="auto"/>
          <w:kern w:val="0"/>
          <w:lang w:val="en-US" w:eastAsia="zh-CN"/>
        </w:rPr>
      </w:pPr>
      <w:r>
        <w:rPr>
          <w:rFonts w:hint="eastAsia" w:ascii="宋体" w:hAnsi="宋体"/>
          <w:color w:val="auto"/>
          <w:kern w:val="0"/>
          <w:lang w:val="en-US" w:eastAsia="zh-CN"/>
        </w:rPr>
        <w:t>7.非住宅物业需要填写项目年度耗电量。</w:t>
      </w:r>
    </w:p>
    <w:p>
      <w:pPr>
        <w:spacing w:line="240" w:lineRule="auto"/>
        <w:ind w:firstLine="482"/>
        <w:rPr>
          <w:rFonts w:hint="eastAsia" w:ascii="宋体" w:hAnsi="宋体"/>
          <w:color w:val="auto"/>
          <w:kern w:val="0"/>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C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jc w:val="left"/>
      <w:outlineLvl w:val="1"/>
    </w:pPr>
    <w:rPr>
      <w:rFonts w:hint="eastAsia" w:ascii="宋体" w:hAnsi="宋体" w:eastAsia="黑体" w:cs="宋体"/>
      <w:b/>
      <w:kern w:val="0"/>
      <w:sz w:val="32"/>
      <w:szCs w:val="36"/>
      <w:lang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font81"/>
    <w:basedOn w:val="6"/>
    <w:qFormat/>
    <w:uiPriority w:val="0"/>
    <w:rPr>
      <w:rFonts w:hint="eastAsia" w:ascii="宋体" w:hAnsi="宋体" w:eastAsia="宋体" w:cs="宋体"/>
      <w:b/>
      <w:bCs/>
      <w:color w:val="000000"/>
      <w:sz w:val="24"/>
      <w:szCs w:val="24"/>
      <w:u w:val="none"/>
    </w:rPr>
  </w:style>
  <w:style w:type="character" w:customStyle="1" w:styleId="8">
    <w:name w:val="font9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2021-05-18T09:31:29Z</dcterms:created>
  <dc:creator>Administrator</dc:creator>
  <cp:lastModifiedBy>leexu</cp:lastModifiedBy>
  <dcterms:modified xsi:type="dcterms:W3CDTF">2021-05-18T09:32:06Z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5589BB79B1454DAABD8F6407A6BCD63F</vt:lpwstr>
  </property>
</Properties>
</file>